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FF18" w14:textId="2C1C96D0" w:rsidR="00007B31" w:rsidRDefault="00007B31" w:rsidP="003449DC">
      <w:pPr>
        <w:jc w:val="both"/>
      </w:pPr>
    </w:p>
    <w:p w14:paraId="5FD26B6C" w14:textId="3D899FB3" w:rsidR="000D2FFF" w:rsidRPr="009E6770" w:rsidRDefault="000D2FFF" w:rsidP="009E677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6770">
        <w:rPr>
          <w:rFonts w:ascii="Arial" w:hAnsi="Arial" w:cs="Arial"/>
          <w:b/>
          <w:bCs/>
          <w:sz w:val="28"/>
          <w:szCs w:val="28"/>
        </w:rPr>
        <w:t>INDICAÇÃO</w:t>
      </w:r>
      <w:r w:rsidR="003449DC" w:rsidRPr="009E6770">
        <w:rPr>
          <w:rFonts w:ascii="Arial" w:hAnsi="Arial" w:cs="Arial"/>
          <w:b/>
          <w:bCs/>
          <w:sz w:val="28"/>
          <w:szCs w:val="28"/>
        </w:rPr>
        <w:t xml:space="preserve"> 409</w:t>
      </w:r>
      <w:r w:rsidRPr="009E6770">
        <w:rPr>
          <w:rFonts w:ascii="Arial" w:hAnsi="Arial" w:cs="Arial"/>
          <w:b/>
          <w:bCs/>
          <w:sz w:val="28"/>
          <w:szCs w:val="28"/>
        </w:rPr>
        <w:t>/2023</w:t>
      </w:r>
    </w:p>
    <w:p w14:paraId="186F5651" w14:textId="77777777" w:rsidR="009E6770" w:rsidRDefault="009E6770" w:rsidP="003449D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45A57AC" w14:textId="646A31C8" w:rsidR="006F18B1" w:rsidRPr="003449DC" w:rsidRDefault="006F18B1" w:rsidP="003449DC">
      <w:pPr>
        <w:spacing w:before="240" w:after="0" w:line="360" w:lineRule="auto"/>
        <w:jc w:val="both"/>
        <w:rPr>
          <w:rFonts w:ascii="Arial" w:hAnsi="Arial" w:cs="Arial"/>
          <w:u w:val="single"/>
        </w:rPr>
      </w:pPr>
      <w:r w:rsidRPr="001227C9">
        <w:rPr>
          <w:rFonts w:ascii="Arial" w:hAnsi="Arial" w:cs="Arial"/>
        </w:rPr>
        <w:t xml:space="preserve">Indicamos ao Prefeito Zenildo Brandão, extensivo </w:t>
      </w:r>
      <w:r w:rsidR="003449DC">
        <w:rPr>
          <w:rFonts w:ascii="Arial" w:hAnsi="Arial" w:cs="Arial"/>
        </w:rPr>
        <w:t>à</w:t>
      </w:r>
      <w:r w:rsidRPr="001227C9">
        <w:rPr>
          <w:rFonts w:ascii="Arial" w:hAnsi="Arial" w:cs="Arial"/>
        </w:rPr>
        <w:t xml:space="preserve"> Secretári</w:t>
      </w:r>
      <w:r w:rsidR="003E5A1B">
        <w:rPr>
          <w:rFonts w:ascii="Arial" w:hAnsi="Arial" w:cs="Arial"/>
        </w:rPr>
        <w:t>a</w:t>
      </w:r>
      <w:r w:rsidRPr="001227C9">
        <w:rPr>
          <w:rFonts w:ascii="Arial" w:hAnsi="Arial" w:cs="Arial"/>
        </w:rPr>
        <w:t xml:space="preserve"> </w:t>
      </w:r>
      <w:r w:rsidR="001227C9" w:rsidRPr="001227C9">
        <w:rPr>
          <w:rFonts w:ascii="Arial" w:hAnsi="Arial" w:cs="Arial"/>
        </w:rPr>
        <w:t>de</w:t>
      </w:r>
      <w:r w:rsidR="003E5A1B">
        <w:rPr>
          <w:rFonts w:ascii="Arial" w:hAnsi="Arial" w:cs="Arial"/>
        </w:rPr>
        <w:t xml:space="preserve"> Educação,</w:t>
      </w:r>
      <w:r w:rsidR="001227C9" w:rsidRPr="001227C9">
        <w:rPr>
          <w:rFonts w:ascii="Arial" w:hAnsi="Arial" w:cs="Arial"/>
        </w:rPr>
        <w:t xml:space="preserve"> Sr</w:t>
      </w:r>
      <w:r w:rsidR="003E5A1B">
        <w:rPr>
          <w:rFonts w:ascii="Arial" w:hAnsi="Arial" w:cs="Arial"/>
        </w:rPr>
        <w:t>a</w:t>
      </w:r>
      <w:r w:rsidR="001227C9" w:rsidRPr="001227C9">
        <w:rPr>
          <w:rFonts w:ascii="Arial" w:hAnsi="Arial" w:cs="Arial"/>
        </w:rPr>
        <w:t>.</w:t>
      </w:r>
      <w:r w:rsidR="003E5A1B">
        <w:rPr>
          <w:rFonts w:ascii="Arial" w:hAnsi="Arial" w:cs="Arial"/>
        </w:rPr>
        <w:t xml:space="preserve"> </w:t>
      </w:r>
      <w:r w:rsidR="003449DC">
        <w:rPr>
          <w:rFonts w:ascii="Arial" w:hAnsi="Arial" w:cs="Arial"/>
        </w:rPr>
        <w:t>Él</w:t>
      </w:r>
      <w:r w:rsidR="003E5A1B">
        <w:rPr>
          <w:rFonts w:ascii="Arial" w:hAnsi="Arial" w:cs="Arial"/>
        </w:rPr>
        <w:t>via Sampaio</w:t>
      </w:r>
      <w:r w:rsidR="003449DC">
        <w:rPr>
          <w:rFonts w:ascii="Arial" w:hAnsi="Arial" w:cs="Arial"/>
        </w:rPr>
        <w:t xml:space="preserve"> e Sampaio</w:t>
      </w:r>
      <w:r w:rsidR="001227C9" w:rsidRPr="001227C9">
        <w:rPr>
          <w:rFonts w:ascii="Arial" w:hAnsi="Arial" w:cs="Arial"/>
        </w:rPr>
        <w:t xml:space="preserve">, </w:t>
      </w:r>
      <w:r w:rsidR="003449DC">
        <w:rPr>
          <w:rFonts w:ascii="Arial" w:hAnsi="Arial" w:cs="Arial"/>
        </w:rPr>
        <w:t xml:space="preserve">solicitando </w:t>
      </w:r>
      <w:r w:rsidR="003E5A1B" w:rsidRPr="003449DC">
        <w:rPr>
          <w:rFonts w:ascii="Arial" w:hAnsi="Arial" w:cs="Arial"/>
          <w:u w:val="single"/>
        </w:rPr>
        <w:t xml:space="preserve">pagamento de Auxilio para combater a evasão escolar no município de Jequié. </w:t>
      </w:r>
    </w:p>
    <w:p w14:paraId="7D41F8CF" w14:textId="118E1493" w:rsidR="006F18B1" w:rsidRDefault="006F18B1" w:rsidP="003449DC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53163D4" w14:textId="77777777" w:rsidR="003E5A1B" w:rsidRPr="003E5A1B" w:rsidRDefault="003E5A1B" w:rsidP="003449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A pandemia provocou diversos danos na sociedade. Um desses danos foi na educação, já que aumentou a evasão escolar. </w:t>
      </w:r>
    </w:p>
    <w:p w14:paraId="32CF9FE5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É isso o que mostra o relatório do Fundo das Nações Unidas para a Infância (Unicef) chamado</w:t>
      </w:r>
      <w:hyperlink r:id="rId8" w:tgtFrame="_blank" w:history="1">
        <w:r w:rsidRPr="003449DC">
          <w:rPr>
            <w:rFonts w:ascii="Arial" w:eastAsia="Times New Roman" w:hAnsi="Arial" w:cs="Arial"/>
            <w:color w:val="244061" w:themeColor="accent1" w:themeShade="80"/>
            <w:u w:val="single"/>
            <w:lang w:eastAsia="pt-BR"/>
          </w:rPr>
          <w:t> “Cenário da Exclusão Escolar no Brasil: Um alerta sobre os impactos da pandemia da Covid-19 na Educação”</w:t>
        </w:r>
      </w:hyperlink>
      <w:r w:rsidRPr="003449DC">
        <w:rPr>
          <w:rFonts w:ascii="Arial" w:eastAsia="Times New Roman" w:hAnsi="Arial" w:cs="Arial"/>
          <w:color w:val="244061" w:themeColor="accent1" w:themeShade="80"/>
          <w:lang w:eastAsia="pt-BR"/>
        </w:rPr>
        <w:t xml:space="preserve">, </w:t>
      </w:r>
      <w:r w:rsidRPr="003E5A1B">
        <w:rPr>
          <w:rFonts w:ascii="Arial" w:eastAsia="Times New Roman" w:hAnsi="Arial" w:cs="Arial"/>
          <w:color w:val="414141"/>
          <w:lang w:eastAsia="pt-BR"/>
        </w:rPr>
        <w:t>divulgado em abril deste ano. </w:t>
      </w:r>
    </w:p>
    <w:p w14:paraId="6235F2E6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O documento afirma que, “com escolas fechadas, quem já estava excluído ficou ainda mais longe de seu direito de aprender.” </w:t>
      </w:r>
    </w:p>
    <w:p w14:paraId="4AB4522C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Além disso, o relatório acrescenta que “aqueles que estavam matriculados, mas tinham menos condições de se manter aprendendo em casa (…) acabaram tendo seu direito à educação negado.”</w:t>
      </w:r>
    </w:p>
    <w:p w14:paraId="02C13C0D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Entre os motivos mencionados no relatório para o aumento da evasão escolar, estão a falta de acesso à internet e agravamento da situação de pobreza.</w:t>
      </w:r>
    </w:p>
    <w:p w14:paraId="4A297EF0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Em números, o Unicef diz que, em novembro de 2020, mais de 5 milhões de meninas e meninos de 6 a 17 anos estavam fora da escola ou sem atividades escolares. Em outras palavras, estavam sem acesso à educação.</w:t>
      </w:r>
    </w:p>
    <w:p w14:paraId="34F78A38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O número corresponde a 13,9% dessa parcela da população em todo o Brasil. Dessas 5,1 milhões de crianças e adolescentes, 1,5 milhão disseram que não frequentam a escola. </w:t>
      </w:r>
    </w:p>
    <w:p w14:paraId="177E4656" w14:textId="77777777" w:rsidR="003E5A1B" w:rsidRP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As outras 3,7 milhões disseram que não foram disponibilizadas atividades escolares para realizar em casa na semana anterior à pesquisa.</w:t>
      </w:r>
    </w:p>
    <w:p w14:paraId="625D095D" w14:textId="77777777" w:rsidR="003E5A1B" w:rsidRDefault="003E5A1B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  <w:r w:rsidRPr="003E5A1B">
        <w:rPr>
          <w:rFonts w:ascii="Arial" w:eastAsia="Times New Roman" w:hAnsi="Arial" w:cs="Arial"/>
          <w:color w:val="414141"/>
          <w:lang w:eastAsia="pt-BR"/>
        </w:rPr>
        <w:t>Desses mais de 5 milhões de jovens sem acesso à educação, mais de 40% eram crianças de 6 a 10 anos. O acesso à educação nessa faixa estava praticamente universalizado antes da pandemia.</w:t>
      </w:r>
    </w:p>
    <w:p w14:paraId="007AFA27" w14:textId="77777777" w:rsidR="009E6770" w:rsidRPr="003E5A1B" w:rsidRDefault="009E6770" w:rsidP="003449DC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414141"/>
          <w:lang w:eastAsia="pt-BR"/>
        </w:rPr>
      </w:pPr>
    </w:p>
    <w:p w14:paraId="6FFB222C" w14:textId="06C6D489" w:rsidR="001227C9" w:rsidRPr="005E0FF1" w:rsidRDefault="005E0FF1" w:rsidP="003449DC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E0FF1">
        <w:rPr>
          <w:rFonts w:ascii="Arial" w:hAnsi="Arial" w:cs="Arial"/>
          <w:color w:val="414141"/>
          <w:shd w:val="clear" w:color="auto" w:fill="FFFFFF"/>
        </w:rPr>
        <w:lastRenderedPageBreak/>
        <w:t>Não é segredo para ninguém que uma boa educação ajuda na busca por empregos melhores. Pessoas com mais anos de estudo tendem a conseguir melhores vagas de trabalho, como demonstram vários estudos.</w:t>
      </w:r>
    </w:p>
    <w:p w14:paraId="1C4D5389" w14:textId="0D3A2324" w:rsidR="00E51B9F" w:rsidRPr="005E0FF1" w:rsidRDefault="00E51B9F" w:rsidP="003449DC">
      <w:pPr>
        <w:spacing w:before="240" w:after="0" w:line="360" w:lineRule="auto"/>
        <w:jc w:val="both"/>
        <w:rPr>
          <w:rFonts w:ascii="Arial" w:hAnsi="Arial" w:cs="Arial"/>
        </w:rPr>
      </w:pPr>
    </w:p>
    <w:p w14:paraId="48EB471B" w14:textId="77777777" w:rsidR="006F18B1" w:rsidRPr="001227C9" w:rsidRDefault="006F18B1" w:rsidP="003449DC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1227C9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14:paraId="0513B645" w14:textId="77777777" w:rsidR="006F18B1" w:rsidRPr="001227C9" w:rsidRDefault="006F18B1" w:rsidP="003449DC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0443847" w14:textId="26E2C9C7" w:rsidR="006F18B1" w:rsidRPr="001227C9" w:rsidRDefault="006F18B1" w:rsidP="009E6770">
      <w:pPr>
        <w:spacing w:after="0" w:line="360" w:lineRule="auto"/>
        <w:jc w:val="center"/>
        <w:rPr>
          <w:rFonts w:ascii="Arial" w:hAnsi="Arial" w:cs="Arial"/>
        </w:rPr>
      </w:pPr>
      <w:r w:rsidRPr="001227C9">
        <w:rPr>
          <w:rFonts w:ascii="Arial" w:hAnsi="Arial" w:cs="Arial"/>
        </w:rPr>
        <w:t xml:space="preserve">Sala das Comissões, </w:t>
      </w:r>
      <w:r w:rsidR="009E6770">
        <w:rPr>
          <w:rFonts w:ascii="Arial" w:hAnsi="Arial" w:cs="Arial"/>
        </w:rPr>
        <w:t>27</w:t>
      </w:r>
      <w:r w:rsidR="001227C9">
        <w:rPr>
          <w:rFonts w:ascii="Arial" w:hAnsi="Arial" w:cs="Arial"/>
        </w:rPr>
        <w:t xml:space="preserve"> </w:t>
      </w:r>
      <w:r w:rsidRPr="001227C9">
        <w:rPr>
          <w:rFonts w:ascii="Arial" w:hAnsi="Arial" w:cs="Arial"/>
        </w:rPr>
        <w:t xml:space="preserve">de </w:t>
      </w:r>
      <w:r w:rsidR="001227C9">
        <w:rPr>
          <w:rFonts w:ascii="Arial" w:hAnsi="Arial" w:cs="Arial"/>
        </w:rPr>
        <w:t>abril</w:t>
      </w:r>
      <w:r w:rsidRPr="001227C9">
        <w:rPr>
          <w:rFonts w:ascii="Arial" w:hAnsi="Arial" w:cs="Arial"/>
        </w:rPr>
        <w:t xml:space="preserve"> de 2023</w:t>
      </w:r>
      <w:r w:rsidR="009E6770">
        <w:rPr>
          <w:rFonts w:ascii="Arial" w:hAnsi="Arial" w:cs="Arial"/>
        </w:rPr>
        <w:t>.</w:t>
      </w:r>
    </w:p>
    <w:p w14:paraId="5AD1CD0E" w14:textId="77777777" w:rsidR="006F18B1" w:rsidRDefault="006F18B1" w:rsidP="003449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3449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3449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9E67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9E67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51B71D8" w14:textId="77777777" w:rsidR="006F18B1" w:rsidRPr="006F18B1" w:rsidRDefault="006F18B1" w:rsidP="003449DC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9"/>
      <w:footerReference w:type="default" r:id="rId10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47884" w14:textId="77777777" w:rsidR="00A3305D" w:rsidRDefault="00A3305D" w:rsidP="007E7B7A">
      <w:pPr>
        <w:spacing w:after="0" w:line="240" w:lineRule="auto"/>
      </w:pPr>
      <w:r>
        <w:separator/>
      </w:r>
    </w:p>
  </w:endnote>
  <w:endnote w:type="continuationSeparator" w:id="0">
    <w:p w14:paraId="14E5DD9E" w14:textId="77777777" w:rsidR="00A3305D" w:rsidRDefault="00A3305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AAAE1" w14:textId="77777777" w:rsidR="00A3305D" w:rsidRDefault="00A3305D" w:rsidP="007E7B7A">
      <w:pPr>
        <w:spacing w:after="0" w:line="240" w:lineRule="auto"/>
      </w:pPr>
      <w:r>
        <w:separator/>
      </w:r>
    </w:p>
  </w:footnote>
  <w:footnote w:type="continuationSeparator" w:id="0">
    <w:p w14:paraId="0B8DA6D8" w14:textId="77777777" w:rsidR="00A3305D" w:rsidRDefault="00A3305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63FE" w14:textId="543C9EE3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7E28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449DC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E5A1B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0FF1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13A57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E6770"/>
    <w:rsid w:val="009F6A36"/>
    <w:rsid w:val="00A03B09"/>
    <w:rsid w:val="00A273B0"/>
    <w:rsid w:val="00A326CB"/>
    <w:rsid w:val="00A32BB9"/>
    <w:rsid w:val="00A3305D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4D39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brazil/relatorios/cenario-da-exclusao-escolar-no-bras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AF21-4581-489F-99EE-0960B535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Roseli</cp:lastModifiedBy>
  <cp:revision>4</cp:revision>
  <cp:lastPrinted>2023-03-16T19:45:00Z</cp:lastPrinted>
  <dcterms:created xsi:type="dcterms:W3CDTF">2023-04-27T19:52:00Z</dcterms:created>
  <dcterms:modified xsi:type="dcterms:W3CDTF">2023-04-27T19:52:00Z</dcterms:modified>
</cp:coreProperties>
</file>