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3BC3C" w14:textId="77777777" w:rsidR="004A4FE4" w:rsidRPr="00B720E8" w:rsidRDefault="004A4FE4" w:rsidP="00B720E8">
      <w:pPr>
        <w:pStyle w:val="Corpodetexto"/>
        <w:spacing w:line="360" w:lineRule="auto"/>
        <w:rPr>
          <w:rFonts w:ascii="Arial" w:hAnsi="Arial" w:cs="Arial"/>
          <w:b/>
        </w:rPr>
      </w:pPr>
    </w:p>
    <w:p w14:paraId="0FDE9158" w14:textId="77777777" w:rsidR="00A75A2C" w:rsidRDefault="00996253" w:rsidP="00B720E8">
      <w:pPr>
        <w:spacing w:line="360" w:lineRule="auto"/>
        <w:jc w:val="both"/>
        <w:rPr>
          <w:rFonts w:ascii="Arial" w:hAnsi="Arial" w:cs="Arial"/>
          <w:b/>
          <w:bCs/>
        </w:rPr>
      </w:pPr>
      <w:r w:rsidRPr="00B720E8">
        <w:rPr>
          <w:rFonts w:ascii="Arial" w:hAnsi="Arial" w:cs="Arial"/>
          <w:b/>
          <w:bCs/>
        </w:rPr>
        <w:t xml:space="preserve">                               </w:t>
      </w:r>
      <w:r w:rsidR="00A75A2C">
        <w:rPr>
          <w:rFonts w:ascii="Arial" w:hAnsi="Arial" w:cs="Arial"/>
          <w:b/>
          <w:bCs/>
        </w:rPr>
        <w:t xml:space="preserve">    </w:t>
      </w:r>
    </w:p>
    <w:p w14:paraId="397CD9C5" w14:textId="77777777" w:rsidR="00F24209" w:rsidRDefault="00A75A2C" w:rsidP="00B720E8">
      <w:pPr>
        <w:spacing w:line="360" w:lineRule="auto"/>
        <w:jc w:val="both"/>
      </w:pPr>
      <w:r>
        <w:rPr>
          <w:rFonts w:ascii="Arial" w:hAnsi="Arial" w:cs="Arial"/>
          <w:b/>
          <w:bCs/>
        </w:rPr>
        <w:t xml:space="preserve">                              </w:t>
      </w:r>
      <w:r w:rsidR="00996253" w:rsidRPr="00B720E8">
        <w:rPr>
          <w:rFonts w:ascii="Arial" w:hAnsi="Arial" w:cs="Arial"/>
          <w:b/>
          <w:bCs/>
        </w:rPr>
        <w:t xml:space="preserve">    </w:t>
      </w:r>
      <w:r w:rsidR="003D113C" w:rsidRPr="00A75A2C">
        <w:rPr>
          <w:rFonts w:ascii="Arial" w:hAnsi="Arial" w:cs="Arial"/>
          <w:b/>
          <w:bCs/>
        </w:rPr>
        <w:t xml:space="preserve">PROJETO DE LEI N° </w:t>
      </w:r>
      <w:r w:rsidR="00102840" w:rsidRPr="00A75A2C">
        <w:rPr>
          <w:rFonts w:ascii="Arial" w:hAnsi="Arial" w:cs="Arial"/>
          <w:b/>
          <w:bCs/>
        </w:rPr>
        <w:t>5</w:t>
      </w:r>
      <w:r w:rsidR="00F24209">
        <w:rPr>
          <w:rFonts w:ascii="Arial" w:hAnsi="Arial" w:cs="Arial"/>
          <w:b/>
          <w:bCs/>
        </w:rPr>
        <w:t>0</w:t>
      </w:r>
      <w:r w:rsidR="00996253" w:rsidRPr="00A75A2C">
        <w:rPr>
          <w:rFonts w:ascii="Arial" w:hAnsi="Arial" w:cs="Arial"/>
          <w:b/>
          <w:bCs/>
        </w:rPr>
        <w:t>/2022</w:t>
      </w:r>
      <w:r w:rsidR="00066E8D">
        <w:rPr>
          <w:rFonts w:ascii="Arial" w:hAnsi="Arial" w:cs="Arial"/>
          <w:b/>
          <w:bCs/>
        </w:rPr>
        <w:t xml:space="preserve"> </w:t>
      </w:r>
      <w:r w:rsidR="00F24209">
        <w:t xml:space="preserve">EM 29 DE JUNHO DE 2022 </w:t>
      </w:r>
    </w:p>
    <w:p w14:paraId="3B827C2F" w14:textId="77777777" w:rsidR="00F24209" w:rsidRDefault="00F24209" w:rsidP="00F24209">
      <w:pPr>
        <w:spacing w:line="360" w:lineRule="auto"/>
        <w:ind w:left="4320"/>
        <w:jc w:val="both"/>
      </w:pPr>
    </w:p>
    <w:p w14:paraId="776C4741" w14:textId="17E2F3F8" w:rsidR="00F24209" w:rsidRDefault="00F24209" w:rsidP="00F24209">
      <w:pPr>
        <w:spacing w:line="360" w:lineRule="auto"/>
        <w:ind w:left="4320"/>
        <w:jc w:val="both"/>
      </w:pPr>
      <w:r>
        <w:t xml:space="preserve">“CONCEDE BENEFÍCIOS FISCAIS ATRAVÉS DO PROGRAMA DE INCENTIVO À REGULARIZAÇÃO CADASTRAL IMOBILIÁRIA, DO PROGRAMA DE REGULARIZAÇÃO DE DÉBITOS MUNICIPAIS E DÁ OUTRAS PROVIDÊNCIAS.” </w:t>
      </w:r>
    </w:p>
    <w:p w14:paraId="78B6356D" w14:textId="77777777" w:rsidR="00F24209" w:rsidRDefault="00F24209" w:rsidP="00F24209">
      <w:pPr>
        <w:spacing w:line="360" w:lineRule="auto"/>
        <w:ind w:left="4320"/>
        <w:jc w:val="both"/>
      </w:pPr>
    </w:p>
    <w:p w14:paraId="24A81EFC" w14:textId="77777777" w:rsidR="00F24209" w:rsidRDefault="00F24209" w:rsidP="00F24209">
      <w:pPr>
        <w:spacing w:line="360" w:lineRule="auto"/>
        <w:jc w:val="both"/>
      </w:pPr>
      <w:r>
        <w:t xml:space="preserve">O PREFEITO MUNICIPAL DE JEQUIÉ, Estado da Bahia, no uso de suas atribuições legais, com arrimo no artigo 75, inciso III, da Lei Orgânica do Município, faço saber que a Câmara Municipal aprovou e eu sanciono a seguinte Lei: </w:t>
      </w:r>
    </w:p>
    <w:p w14:paraId="42A2A74F" w14:textId="77777777" w:rsidR="00F24209" w:rsidRDefault="00F24209" w:rsidP="00F24209">
      <w:pPr>
        <w:spacing w:line="360" w:lineRule="auto"/>
        <w:jc w:val="both"/>
      </w:pPr>
    </w:p>
    <w:p w14:paraId="1E44E2C8" w14:textId="77777777" w:rsidR="00F24209" w:rsidRDefault="00F24209" w:rsidP="00F24209">
      <w:pPr>
        <w:spacing w:line="360" w:lineRule="auto"/>
        <w:jc w:val="both"/>
      </w:pPr>
      <w:r>
        <w:t xml:space="preserve">Art. 1° Esta Lei concede benefícios fiscais através do Programa de Incentivo à Regularização Cadastral Imobiliária e do Programa de Regularização de Débitos Municipais. </w:t>
      </w:r>
    </w:p>
    <w:p w14:paraId="0C09D807" w14:textId="77777777" w:rsidR="00F24209" w:rsidRDefault="00F24209" w:rsidP="00F24209">
      <w:pPr>
        <w:spacing w:line="360" w:lineRule="auto"/>
        <w:jc w:val="both"/>
      </w:pPr>
    </w:p>
    <w:p w14:paraId="59ADAA43" w14:textId="77777777" w:rsidR="00F24209" w:rsidRDefault="00F24209" w:rsidP="00F24209">
      <w:pPr>
        <w:spacing w:line="360" w:lineRule="auto"/>
        <w:jc w:val="both"/>
      </w:pPr>
      <w:r>
        <w:t xml:space="preserve">CAPÍTULO I DO PROGRAMA DE INCENTIVO À REGULARIZAÇÃO CADASTRAL IMOBILIÁRIA </w:t>
      </w:r>
    </w:p>
    <w:p w14:paraId="51BC5A7B" w14:textId="77777777" w:rsidR="00F24209" w:rsidRDefault="00F24209" w:rsidP="00F24209">
      <w:pPr>
        <w:spacing w:line="360" w:lineRule="auto"/>
        <w:jc w:val="both"/>
      </w:pPr>
    </w:p>
    <w:p w14:paraId="7C96ABEF" w14:textId="77777777" w:rsidR="00F24209" w:rsidRDefault="00F24209" w:rsidP="00F24209">
      <w:pPr>
        <w:spacing w:line="360" w:lineRule="auto"/>
        <w:jc w:val="both"/>
      </w:pPr>
      <w:r>
        <w:t>Art. 2° O Programa de Incentivo à Regularização Cadastral Imobiliária consiste em possibilitar aos contribuintes a denúncia espontânea para:</w:t>
      </w:r>
    </w:p>
    <w:p w14:paraId="3E90FEF9" w14:textId="77777777" w:rsidR="00F24209" w:rsidRDefault="00F24209" w:rsidP="00F24209">
      <w:pPr>
        <w:spacing w:line="360" w:lineRule="auto"/>
        <w:jc w:val="both"/>
      </w:pPr>
    </w:p>
    <w:p w14:paraId="5C7DE3C2" w14:textId="1F774B50" w:rsidR="00F24209" w:rsidRDefault="00F24209" w:rsidP="00F24209">
      <w:pPr>
        <w:spacing w:line="360" w:lineRule="auto"/>
        <w:jc w:val="both"/>
      </w:pPr>
      <w:r>
        <w:t>I – inscrição no cadastro imobiliário de imóvel não inscrito;</w:t>
      </w:r>
    </w:p>
    <w:p w14:paraId="31B9BE5D" w14:textId="77777777" w:rsidR="00F24209" w:rsidRDefault="00F24209" w:rsidP="00F24209">
      <w:pPr>
        <w:spacing w:line="360" w:lineRule="auto"/>
        <w:jc w:val="both"/>
      </w:pPr>
      <w:r>
        <w:t xml:space="preserve">II – atualização dos dados cadastrais do imóvel; Parágrafo único. Inclui-se na atualização dos dados cadastrais, além das dimensões, uso e padrão construtivo, o nome do proprietário do imóvel após a atualização da situação jurídica do imóvel junto ao cartório de registro de imóveis. </w:t>
      </w:r>
    </w:p>
    <w:p w14:paraId="5A22D232" w14:textId="77777777" w:rsidR="00F24209" w:rsidRDefault="00F24209" w:rsidP="00F24209">
      <w:pPr>
        <w:spacing w:line="360" w:lineRule="auto"/>
        <w:jc w:val="both"/>
      </w:pPr>
    </w:p>
    <w:p w14:paraId="584C4310" w14:textId="77777777" w:rsidR="00F24209" w:rsidRDefault="00F24209" w:rsidP="00F24209">
      <w:pPr>
        <w:spacing w:line="360" w:lineRule="auto"/>
        <w:jc w:val="both"/>
      </w:pPr>
      <w:r>
        <w:t xml:space="preserve">Art. 3° Para participar do Programa o contribuinte deve protocolar o pedido de regularização até o dia 31 de outubro de 2022. </w:t>
      </w:r>
    </w:p>
    <w:p w14:paraId="5588E67D" w14:textId="77777777" w:rsidR="00F24209" w:rsidRDefault="00F24209" w:rsidP="00F24209">
      <w:pPr>
        <w:spacing w:line="360" w:lineRule="auto"/>
        <w:jc w:val="both"/>
      </w:pPr>
    </w:p>
    <w:p w14:paraId="7B5C9B59" w14:textId="77777777" w:rsidR="00F24209" w:rsidRDefault="00F24209" w:rsidP="00F24209">
      <w:pPr>
        <w:spacing w:line="360" w:lineRule="auto"/>
        <w:jc w:val="both"/>
      </w:pPr>
      <w:r>
        <w:t xml:space="preserve">Parágrafo único. Ato do Poder Executivo, publicado em até 20 (vinte) dias após a vigência desta Lei, definirá os documentos a serem apresentados pelos contribuintes. </w:t>
      </w:r>
    </w:p>
    <w:p w14:paraId="3881EE36" w14:textId="77777777" w:rsidR="00F24209" w:rsidRDefault="00F24209" w:rsidP="00F24209">
      <w:pPr>
        <w:spacing w:line="360" w:lineRule="auto"/>
        <w:jc w:val="both"/>
      </w:pPr>
    </w:p>
    <w:p w14:paraId="692E7133" w14:textId="77777777" w:rsidR="00F24209" w:rsidRDefault="00F24209" w:rsidP="00F24209">
      <w:pPr>
        <w:spacing w:line="360" w:lineRule="auto"/>
        <w:jc w:val="both"/>
      </w:pPr>
      <w:r>
        <w:t xml:space="preserve">Art. 4° Serão concedidos os seguintes benefícios para quem participar do Programa, desde que apresentados os documentos definidos na forma do regulamento: </w:t>
      </w:r>
    </w:p>
    <w:p w14:paraId="2FC765E6" w14:textId="77777777" w:rsidR="00F24209" w:rsidRDefault="00F24209" w:rsidP="00F24209">
      <w:pPr>
        <w:spacing w:line="360" w:lineRule="auto"/>
        <w:jc w:val="both"/>
      </w:pPr>
      <w:r>
        <w:t>I – quando se tratar de atualização das dimensões, do padrão construtivo e/ou uso do imóvel, dispensa de pagamento de qualquer diferença do IPTU decorrente da atualização cadastral nos exercícios anteriores a 2021, salvo se as alterações tenham ocorrido a partir de 1°/janeiro/2021;</w:t>
      </w:r>
    </w:p>
    <w:p w14:paraId="0E083BAE" w14:textId="77777777" w:rsidR="00F24209" w:rsidRDefault="00F24209" w:rsidP="00F24209">
      <w:pPr>
        <w:spacing w:line="360" w:lineRule="auto"/>
        <w:jc w:val="both"/>
      </w:pPr>
      <w:r>
        <w:t xml:space="preserve">II – quando se tratar de atualização do nome do proprietário do imóvel no cadastro imobiliário concomitantemente com o registro no cartório de imóveis, desconto de 30% (trinta por cento) no pagamento do Imposto sobre a Transmissão “Inter Vivos”, de Bens Imóveis - ITBI devido; </w:t>
      </w:r>
    </w:p>
    <w:p w14:paraId="56B4D1F6" w14:textId="77777777" w:rsidR="00F24209" w:rsidRDefault="00F24209" w:rsidP="00F24209">
      <w:pPr>
        <w:spacing w:line="360" w:lineRule="auto"/>
        <w:jc w:val="both"/>
      </w:pPr>
      <w:r>
        <w:t xml:space="preserve">III – no caso de inscrição de imóvel não inscrito no cadastro imobiliário, dispensa de pagamento do IPTU de exercícios anteriores a 2021, salvo se o imóvel passou a existir a partir de 1°/janeiro/2021; </w:t>
      </w:r>
    </w:p>
    <w:p w14:paraId="612E38EC" w14:textId="77777777" w:rsidR="00F24209" w:rsidRDefault="00F24209" w:rsidP="00F24209">
      <w:pPr>
        <w:spacing w:line="360" w:lineRule="auto"/>
        <w:jc w:val="both"/>
      </w:pPr>
      <w:r>
        <w:t xml:space="preserve">IV – para quaisquer das hipóteses dos incisos I a III, dispensa do pagamento de multa por descumprimento da obrigação acessória de inscrever e/ou de comunicar alteração cadastral. Parágrafo único. Não poderá participar do Programa os contribuintes que deixarem de apresentar, até o dia 31 de outubro de 2022, quaisquer dos documentos definidos no ato previsto no parágrafo único do art. 3°. </w:t>
      </w:r>
    </w:p>
    <w:p w14:paraId="58DA476B" w14:textId="77777777" w:rsidR="00F24209" w:rsidRDefault="00F24209" w:rsidP="00F24209">
      <w:pPr>
        <w:spacing w:line="360" w:lineRule="auto"/>
        <w:jc w:val="both"/>
      </w:pPr>
    </w:p>
    <w:p w14:paraId="21B128C6" w14:textId="77777777" w:rsidR="00F24209" w:rsidRDefault="00F24209" w:rsidP="00F24209">
      <w:pPr>
        <w:spacing w:line="360" w:lineRule="auto"/>
        <w:jc w:val="both"/>
      </w:pPr>
      <w:r>
        <w:t xml:space="preserve">Art. 5° No caso de constituição de crédito tributário decorrente de ação fiscal iniciada até 31 de outubro de 2022, o lançamento deverá observar o previsto no </w:t>
      </w:r>
      <w:r>
        <w:lastRenderedPageBreak/>
        <w:t xml:space="preserve">art. 4°. Art. 6° A partir de 1° de novembro de 2022, o cadastramento de imóvel não inscrito ou de alteração de dado cadastral que impacte no cálculo do imposto terá vigência desde o quinto ano anterior ao do cadastramento. </w:t>
      </w:r>
    </w:p>
    <w:p w14:paraId="5C1E3CBA" w14:textId="77777777" w:rsidR="00F24209" w:rsidRDefault="00F24209" w:rsidP="00F24209">
      <w:pPr>
        <w:spacing w:line="360" w:lineRule="auto"/>
        <w:jc w:val="both"/>
      </w:pPr>
      <w:r>
        <w:t xml:space="preserve">§ 1° O cadastramento ou alteração previstos no caput podem ser decorrentes de denúncia espontânea, apuração pela Administração Tributária, recadastramento ou ação fiscal. </w:t>
      </w:r>
    </w:p>
    <w:p w14:paraId="6E10A2B2" w14:textId="77777777" w:rsidR="00F24209" w:rsidRDefault="00F24209" w:rsidP="00F24209">
      <w:pPr>
        <w:spacing w:line="360" w:lineRule="auto"/>
        <w:jc w:val="both"/>
      </w:pPr>
      <w:r>
        <w:t xml:space="preserve">§ 2° Quando o cadastramento ou alteração cadastral for decorrente do habite-se, a inscrição ou alteração terá vigência na data do habite-se. </w:t>
      </w:r>
    </w:p>
    <w:p w14:paraId="683F78A4" w14:textId="77777777" w:rsidR="00F24209" w:rsidRDefault="00F24209" w:rsidP="00F24209">
      <w:pPr>
        <w:spacing w:line="360" w:lineRule="auto"/>
        <w:jc w:val="both"/>
      </w:pPr>
      <w:r>
        <w:t xml:space="preserve">§ 3° A vigência retroativa quinquenal prevista no caput não se aplica, de o sujeito passivo provar, com documentos hábeis e idôneos, o mês e ano da ocorrência dos seguintes fatos, que passará a ser a da vigência do cadastramento ou alteração: </w:t>
      </w:r>
    </w:p>
    <w:p w14:paraId="7B7F986D" w14:textId="77777777" w:rsidR="00F24209" w:rsidRDefault="00F24209" w:rsidP="00F24209">
      <w:pPr>
        <w:spacing w:line="360" w:lineRule="auto"/>
        <w:jc w:val="both"/>
      </w:pPr>
      <w:r>
        <w:t xml:space="preserve">I – desmembramento do terreno; </w:t>
      </w:r>
    </w:p>
    <w:p w14:paraId="214514AE" w14:textId="77777777" w:rsidR="00F24209" w:rsidRDefault="00F24209" w:rsidP="00F24209">
      <w:pPr>
        <w:spacing w:line="360" w:lineRule="auto"/>
        <w:jc w:val="both"/>
      </w:pPr>
      <w:r>
        <w:t xml:space="preserve">II – conclusão da obra ou da efetiva ocupação da unidade imobiliária; </w:t>
      </w:r>
    </w:p>
    <w:p w14:paraId="464B4078" w14:textId="77777777" w:rsidR="00F24209" w:rsidRDefault="00F24209" w:rsidP="00F24209">
      <w:pPr>
        <w:spacing w:line="360" w:lineRule="auto"/>
        <w:jc w:val="both"/>
      </w:pPr>
      <w:r>
        <w:t>III – alteração de área construída, do padrão construtivo, da categoria de uso do imóvel ou de qualquer dado cadastral que impacte na apuração da base de cálculo do imposto.</w:t>
      </w:r>
    </w:p>
    <w:p w14:paraId="641A2EC7" w14:textId="77777777" w:rsidR="00F24209" w:rsidRDefault="00F24209" w:rsidP="00F24209">
      <w:pPr>
        <w:spacing w:line="360" w:lineRule="auto"/>
        <w:jc w:val="both"/>
      </w:pPr>
      <w:r>
        <w:t xml:space="preserve">§ 4° Na hipótese da divergência entre o dado cadastral e a situação fática do imóvel ser decorrente de erro da Administração Tributária, o lançamento retroagirá para a data do fato, ficando o contribuinte dispensado do pagamento de multa e juros de mora. </w:t>
      </w:r>
    </w:p>
    <w:p w14:paraId="0E92D909" w14:textId="77777777" w:rsidR="00F24209" w:rsidRDefault="00F24209" w:rsidP="00F24209">
      <w:pPr>
        <w:spacing w:line="360" w:lineRule="auto"/>
        <w:jc w:val="both"/>
      </w:pPr>
      <w:r>
        <w:t>§ 5° No caso de a correção cadastral gerar crédito a favor do sujeito passivo, esse valor poderá, a critério do sujeito passivo:</w:t>
      </w:r>
    </w:p>
    <w:p w14:paraId="1C189CD3" w14:textId="77777777" w:rsidR="00F24209" w:rsidRDefault="00F24209" w:rsidP="00F24209">
      <w:pPr>
        <w:spacing w:line="360" w:lineRule="auto"/>
        <w:jc w:val="both"/>
      </w:pPr>
      <w:r>
        <w:t xml:space="preserve">I - ser utilizado para pagamento de IPTU vencido ou vincendo do próprio sujeito passivo; II - ser objeto de processo de restituição. </w:t>
      </w:r>
    </w:p>
    <w:p w14:paraId="77E6385C" w14:textId="77777777" w:rsidR="00F24209" w:rsidRDefault="00F24209" w:rsidP="00F24209">
      <w:pPr>
        <w:spacing w:line="360" w:lineRule="auto"/>
        <w:jc w:val="both"/>
      </w:pPr>
    </w:p>
    <w:p w14:paraId="2CBF0AB2" w14:textId="560D2778" w:rsidR="00F24209" w:rsidRDefault="00F24209" w:rsidP="00F24209">
      <w:pPr>
        <w:spacing w:line="360" w:lineRule="auto"/>
        <w:jc w:val="both"/>
      </w:pPr>
      <w:r>
        <w:t xml:space="preserve">CAPÍTULO II DO PROGRAMA DE REGULARIZAÇÃO DE DÉBITOS MUNICIPAIS </w:t>
      </w:r>
    </w:p>
    <w:p w14:paraId="51AFFEC9" w14:textId="77777777" w:rsidR="00F24209" w:rsidRDefault="00F24209" w:rsidP="00F24209">
      <w:pPr>
        <w:spacing w:line="360" w:lineRule="auto"/>
        <w:jc w:val="both"/>
      </w:pPr>
    </w:p>
    <w:p w14:paraId="24311FFD" w14:textId="77777777" w:rsidR="009555C3" w:rsidRDefault="00F24209" w:rsidP="00F24209">
      <w:pPr>
        <w:spacing w:line="360" w:lineRule="auto"/>
        <w:jc w:val="both"/>
      </w:pPr>
      <w:r>
        <w:t xml:space="preserve">Art. 7º Os créditos tributários e não tributários da Fazenda Pública Municipal, vencidos até 31 de dezembro de 2021, inscritos ou não em Dívida Ativa, ajuizados ou não, poderão ser pagos, atualizados monetariamente, com dispensa total ou </w:t>
      </w:r>
      <w:r>
        <w:lastRenderedPageBreak/>
        <w:t xml:space="preserve">parcial, dos encargos relativos à multa de mora, aos juros de mora, honorários advocatícios e, quando for o caso, à multa de infração decorrente de descumprimento de obrigação tributária principal ou acessória, para pagamento à vista ou parcelado em até 24 (vinte e quatro) parcelas mensais, na forma e nas condições indicados nesta Lei. § 1° Não se aplicam os benefícios definidos neste Programa para: </w:t>
      </w:r>
    </w:p>
    <w:p w14:paraId="51353122" w14:textId="77777777" w:rsidR="009555C3" w:rsidRDefault="00F24209" w:rsidP="00F24209">
      <w:pPr>
        <w:spacing w:line="360" w:lineRule="auto"/>
        <w:jc w:val="both"/>
      </w:pPr>
      <w:r>
        <w:t xml:space="preserve">I - as multas oriundas de Tribunais de Contas; </w:t>
      </w:r>
    </w:p>
    <w:p w14:paraId="2FADBD33" w14:textId="77777777" w:rsidR="007C22B0" w:rsidRDefault="00F24209" w:rsidP="00F24209">
      <w:pPr>
        <w:spacing w:line="360" w:lineRule="auto"/>
        <w:jc w:val="both"/>
      </w:pPr>
      <w:r>
        <w:t xml:space="preserve">II - as imputações de ressarcimento ao erário público; </w:t>
      </w:r>
    </w:p>
    <w:p w14:paraId="332A78D1" w14:textId="7A1C6DD0" w:rsidR="009555C3" w:rsidRDefault="00F24209" w:rsidP="00F24209">
      <w:pPr>
        <w:spacing w:line="360" w:lineRule="auto"/>
        <w:jc w:val="both"/>
      </w:pPr>
      <w:r>
        <w:t xml:space="preserve">III - os débitos do Imposto Sobre Serviços - ISS das empresas optantes do Simples Nacional, quando o recolhimento deva ser realizado junto à Receita Federal do Brasil. </w:t>
      </w:r>
    </w:p>
    <w:p w14:paraId="1593E9E2" w14:textId="37401216" w:rsidR="009555C3" w:rsidRDefault="00F24209" w:rsidP="00F24209">
      <w:pPr>
        <w:spacing w:line="360" w:lineRule="auto"/>
        <w:jc w:val="both"/>
      </w:pPr>
      <w:r>
        <w:t xml:space="preserve">§ 2° Aplicam-se os benefícios definidos neste Programa para os débitos decorrentes de imposto retido na fonte. </w:t>
      </w:r>
    </w:p>
    <w:p w14:paraId="3002B78D" w14:textId="77777777" w:rsidR="007C22B0" w:rsidRDefault="007C22B0" w:rsidP="00F24209">
      <w:pPr>
        <w:spacing w:line="360" w:lineRule="auto"/>
        <w:jc w:val="both"/>
      </w:pPr>
    </w:p>
    <w:p w14:paraId="6016994C" w14:textId="01E41490" w:rsidR="009555C3" w:rsidRDefault="00F24209" w:rsidP="00F24209">
      <w:pPr>
        <w:spacing w:line="360" w:lineRule="auto"/>
        <w:jc w:val="both"/>
      </w:pPr>
      <w:r>
        <w:t xml:space="preserve">Art. 8º </w:t>
      </w:r>
      <w:r w:rsidR="007C22B0">
        <w:t xml:space="preserve">-  </w:t>
      </w:r>
      <w:r>
        <w:t>Serão concedidos os seguintes benefícios para quem participar do Programa e optar pelo pagamento dos débitos municipais:</w:t>
      </w:r>
    </w:p>
    <w:p w14:paraId="3B0076DA" w14:textId="77777777" w:rsidR="007C22B0" w:rsidRDefault="007C22B0" w:rsidP="00F24209">
      <w:pPr>
        <w:spacing w:line="360" w:lineRule="auto"/>
        <w:jc w:val="both"/>
      </w:pPr>
    </w:p>
    <w:p w14:paraId="5BD4F297" w14:textId="73305414" w:rsidR="00D80B17" w:rsidRDefault="00F24209" w:rsidP="00F24209">
      <w:pPr>
        <w:spacing w:line="360" w:lineRule="auto"/>
        <w:jc w:val="both"/>
      </w:pPr>
      <w:r>
        <w:t xml:space="preserve">I – em </w:t>
      </w:r>
      <w:r w:rsidR="00D80B17">
        <w:t>até três parcelas</w:t>
      </w:r>
      <w:r>
        <w:t xml:space="preserve">: </w:t>
      </w:r>
    </w:p>
    <w:p w14:paraId="35915556" w14:textId="171A023F" w:rsidR="009555C3" w:rsidRDefault="00F24209" w:rsidP="00F24209">
      <w:pPr>
        <w:spacing w:line="360" w:lineRule="auto"/>
        <w:jc w:val="both"/>
      </w:pPr>
      <w:r>
        <w:t xml:space="preserve">a) 100% (cem por cento) de desconto nos juros e multas de mora; </w:t>
      </w:r>
    </w:p>
    <w:p w14:paraId="082CA1A5" w14:textId="77777777" w:rsidR="009555C3" w:rsidRDefault="00F24209" w:rsidP="00F24209">
      <w:pPr>
        <w:spacing w:line="360" w:lineRule="auto"/>
        <w:jc w:val="both"/>
      </w:pPr>
      <w:r>
        <w:t xml:space="preserve">b) 100% (cem por cento) de desconto na multa de infração de obrigação principal; </w:t>
      </w:r>
    </w:p>
    <w:p w14:paraId="64CFD0BC" w14:textId="77777777" w:rsidR="009555C3" w:rsidRDefault="00F24209" w:rsidP="00F24209">
      <w:pPr>
        <w:spacing w:line="360" w:lineRule="auto"/>
        <w:jc w:val="both"/>
      </w:pPr>
      <w:r>
        <w:t xml:space="preserve">c) 100% (cem por cento) dos honorários advocatícios, quando houver. </w:t>
      </w:r>
    </w:p>
    <w:p w14:paraId="56A28B57" w14:textId="77777777" w:rsidR="009555C3" w:rsidRDefault="00F24209" w:rsidP="00F24209">
      <w:pPr>
        <w:spacing w:line="360" w:lineRule="auto"/>
        <w:jc w:val="both"/>
      </w:pPr>
      <w:r>
        <w:t xml:space="preserve">d) 50% (cinquenta por cento) de desconto na multa decorrente de obrigação acessória. </w:t>
      </w:r>
    </w:p>
    <w:p w14:paraId="05C0693D" w14:textId="77777777" w:rsidR="009555C3" w:rsidRDefault="00F24209" w:rsidP="00F24209">
      <w:pPr>
        <w:spacing w:line="360" w:lineRule="auto"/>
        <w:jc w:val="both"/>
      </w:pPr>
      <w:r>
        <w:t xml:space="preserve">II – em até 6 (seis) parcelas: </w:t>
      </w:r>
    </w:p>
    <w:p w14:paraId="172E7B0E" w14:textId="77777777" w:rsidR="009555C3" w:rsidRDefault="00F24209" w:rsidP="00F24209">
      <w:pPr>
        <w:spacing w:line="360" w:lineRule="auto"/>
        <w:jc w:val="both"/>
      </w:pPr>
      <w:r>
        <w:t xml:space="preserve">a) 90% (noventa por cento) de desconto nos juros e na multa de mora; </w:t>
      </w:r>
    </w:p>
    <w:p w14:paraId="6D7C596F" w14:textId="77777777" w:rsidR="009555C3" w:rsidRDefault="00F24209" w:rsidP="00F24209">
      <w:pPr>
        <w:spacing w:line="360" w:lineRule="auto"/>
        <w:jc w:val="both"/>
      </w:pPr>
      <w:r>
        <w:t xml:space="preserve">b) 90% (noventa por cento) de desconto na multa de infração de obrigação principal; </w:t>
      </w:r>
    </w:p>
    <w:p w14:paraId="06E8C08D" w14:textId="77777777" w:rsidR="009555C3" w:rsidRDefault="00F24209" w:rsidP="00F24209">
      <w:pPr>
        <w:spacing w:line="360" w:lineRule="auto"/>
        <w:jc w:val="both"/>
      </w:pPr>
      <w:r>
        <w:t xml:space="preserve">c) 90% (noventa por cento) dos honorários advocatícios, quando houver. </w:t>
      </w:r>
    </w:p>
    <w:p w14:paraId="7F4B7E7B" w14:textId="77777777" w:rsidR="009555C3" w:rsidRDefault="00F24209" w:rsidP="00F24209">
      <w:pPr>
        <w:spacing w:line="360" w:lineRule="auto"/>
        <w:jc w:val="both"/>
      </w:pPr>
      <w:r>
        <w:t xml:space="preserve">d) 50% (cinquenta por cento) de desconto na multa decorrente de obrigação acessória. </w:t>
      </w:r>
    </w:p>
    <w:p w14:paraId="4D5CBB1D" w14:textId="77777777" w:rsidR="009555C3" w:rsidRDefault="00F24209" w:rsidP="00F24209">
      <w:pPr>
        <w:spacing w:line="360" w:lineRule="auto"/>
        <w:jc w:val="both"/>
      </w:pPr>
      <w:r>
        <w:lastRenderedPageBreak/>
        <w:t xml:space="preserve">III – de 7 (sete) a 12 (doze) parcelas: </w:t>
      </w:r>
    </w:p>
    <w:p w14:paraId="38D4B854" w14:textId="77777777" w:rsidR="009555C3" w:rsidRDefault="00F24209" w:rsidP="00F24209">
      <w:pPr>
        <w:spacing w:line="360" w:lineRule="auto"/>
        <w:jc w:val="both"/>
      </w:pPr>
      <w:r>
        <w:t xml:space="preserve">a) 80% (oitenta por cento) de desconto nos juros e multa de mora; </w:t>
      </w:r>
    </w:p>
    <w:p w14:paraId="2D13D9E3" w14:textId="77777777" w:rsidR="009555C3" w:rsidRDefault="00F24209" w:rsidP="00F24209">
      <w:pPr>
        <w:spacing w:line="360" w:lineRule="auto"/>
        <w:jc w:val="both"/>
      </w:pPr>
      <w:r>
        <w:t xml:space="preserve">b) 80% (oitenta por cento) de desconto na multa de infração de obrigação principal; </w:t>
      </w:r>
    </w:p>
    <w:p w14:paraId="60B5A1D6" w14:textId="77777777" w:rsidR="009555C3" w:rsidRDefault="00F24209" w:rsidP="00F24209">
      <w:pPr>
        <w:spacing w:line="360" w:lineRule="auto"/>
        <w:jc w:val="both"/>
      </w:pPr>
      <w:r>
        <w:t xml:space="preserve">c) 80% (oitenta por cento) dos honorários advocatícios, quando houver. </w:t>
      </w:r>
    </w:p>
    <w:p w14:paraId="4E5B44EF" w14:textId="77777777" w:rsidR="009555C3" w:rsidRDefault="00F24209" w:rsidP="00F24209">
      <w:pPr>
        <w:spacing w:line="360" w:lineRule="auto"/>
        <w:jc w:val="both"/>
      </w:pPr>
      <w:r>
        <w:t>d) 50% (cinquenta por cento) de desconto na multa decorrente de obrigação acessória.</w:t>
      </w:r>
    </w:p>
    <w:p w14:paraId="1ED57BF3" w14:textId="77777777" w:rsidR="009555C3" w:rsidRDefault="00F24209" w:rsidP="00F24209">
      <w:pPr>
        <w:spacing w:line="360" w:lineRule="auto"/>
        <w:jc w:val="both"/>
      </w:pPr>
      <w:r>
        <w:t xml:space="preserve">IV – de 13 (treze) a 18 (dezoito) parcelas: </w:t>
      </w:r>
    </w:p>
    <w:p w14:paraId="5C3A7F9A" w14:textId="77777777" w:rsidR="009555C3" w:rsidRDefault="00F24209" w:rsidP="00F24209">
      <w:pPr>
        <w:spacing w:line="360" w:lineRule="auto"/>
        <w:jc w:val="both"/>
      </w:pPr>
      <w:r>
        <w:t xml:space="preserve">a) 60% (sessenta por cento) de desconto nos juros e multa de mora; </w:t>
      </w:r>
    </w:p>
    <w:p w14:paraId="2BD3CA1E" w14:textId="77777777" w:rsidR="009555C3" w:rsidRDefault="00F24209" w:rsidP="00F24209">
      <w:pPr>
        <w:spacing w:line="360" w:lineRule="auto"/>
        <w:jc w:val="both"/>
      </w:pPr>
      <w:r>
        <w:t xml:space="preserve">b) 60% (sessenta por cento) de desconto na multa de infração de obrigação principal; </w:t>
      </w:r>
    </w:p>
    <w:p w14:paraId="7CF7CD17" w14:textId="77777777" w:rsidR="009555C3" w:rsidRDefault="00F24209" w:rsidP="00F24209">
      <w:pPr>
        <w:spacing w:line="360" w:lineRule="auto"/>
        <w:jc w:val="both"/>
      </w:pPr>
      <w:r>
        <w:t xml:space="preserve">c) 60% (sessenta por cento) dos honorários advocatícios, quando houver. </w:t>
      </w:r>
    </w:p>
    <w:p w14:paraId="645B256B" w14:textId="77777777" w:rsidR="009555C3" w:rsidRDefault="00F24209" w:rsidP="00F24209">
      <w:pPr>
        <w:spacing w:line="360" w:lineRule="auto"/>
        <w:jc w:val="both"/>
      </w:pPr>
      <w:r>
        <w:t xml:space="preserve">d) 20% (vinte por cento) de desconto na multa decorrente de obrigação acessória. </w:t>
      </w:r>
    </w:p>
    <w:p w14:paraId="736BACBD" w14:textId="77777777" w:rsidR="009555C3" w:rsidRDefault="00F24209" w:rsidP="00F24209">
      <w:pPr>
        <w:spacing w:line="360" w:lineRule="auto"/>
        <w:jc w:val="both"/>
      </w:pPr>
      <w:r>
        <w:t xml:space="preserve">V – de 19 (dezenove) a 24 (vinte e quatro) parcelas: </w:t>
      </w:r>
    </w:p>
    <w:p w14:paraId="09874CA1" w14:textId="77777777" w:rsidR="009555C3" w:rsidRDefault="00F24209" w:rsidP="00F24209">
      <w:pPr>
        <w:spacing w:line="360" w:lineRule="auto"/>
        <w:jc w:val="both"/>
      </w:pPr>
      <w:r>
        <w:t>a) 50% (cinquenta por cento) de desconto nos juros e multa de mora;</w:t>
      </w:r>
    </w:p>
    <w:p w14:paraId="06AA90CC" w14:textId="77777777" w:rsidR="009555C3" w:rsidRDefault="00F24209" w:rsidP="00F24209">
      <w:pPr>
        <w:spacing w:line="360" w:lineRule="auto"/>
        <w:jc w:val="both"/>
      </w:pPr>
      <w:r>
        <w:t xml:space="preserve">b) 50% (cinquenta por cento) de desconto na multa de infração de obrigação principal; </w:t>
      </w:r>
    </w:p>
    <w:p w14:paraId="7FAD74A3" w14:textId="77777777" w:rsidR="009555C3" w:rsidRDefault="00F24209" w:rsidP="00F24209">
      <w:pPr>
        <w:spacing w:line="360" w:lineRule="auto"/>
        <w:jc w:val="both"/>
      </w:pPr>
      <w:r>
        <w:t xml:space="preserve">c) 50% (cinquenta por cento) dos honorários advocatícios, quando houver; </w:t>
      </w:r>
    </w:p>
    <w:p w14:paraId="5CA10B1B" w14:textId="77777777" w:rsidR="009555C3" w:rsidRDefault="00F24209" w:rsidP="00F24209">
      <w:pPr>
        <w:spacing w:line="360" w:lineRule="auto"/>
        <w:jc w:val="both"/>
      </w:pPr>
      <w:r>
        <w:t xml:space="preserve">d) 10% (dez por cento) de desconto na multa decorrente de obrigação acessória. VI – com sinal de 50% (cinquenta por cento) e saldo remanescente em até 12 (doze) parcelas: </w:t>
      </w:r>
    </w:p>
    <w:p w14:paraId="49E282EE" w14:textId="77777777" w:rsidR="009555C3" w:rsidRDefault="00F24209" w:rsidP="00F24209">
      <w:pPr>
        <w:spacing w:line="360" w:lineRule="auto"/>
        <w:jc w:val="both"/>
      </w:pPr>
      <w:r>
        <w:t xml:space="preserve">a) 90% (noventa por cento) de desconto nos juros de mora; </w:t>
      </w:r>
    </w:p>
    <w:p w14:paraId="696D49CA" w14:textId="77777777" w:rsidR="009555C3" w:rsidRDefault="00F24209" w:rsidP="00F24209">
      <w:pPr>
        <w:spacing w:line="360" w:lineRule="auto"/>
        <w:jc w:val="both"/>
      </w:pPr>
      <w:r>
        <w:t xml:space="preserve">b) 90% (noventa por cento) de desconto na multa de mora; </w:t>
      </w:r>
    </w:p>
    <w:p w14:paraId="51655E54" w14:textId="77777777" w:rsidR="009555C3" w:rsidRDefault="00F24209" w:rsidP="00F24209">
      <w:pPr>
        <w:spacing w:line="360" w:lineRule="auto"/>
        <w:jc w:val="both"/>
      </w:pPr>
      <w:r>
        <w:t>c) 100% (cem por cento) de desconto na multa de infração de obrigação principal; d) 80% (oitenta por cento) dos honorários advocatícios, quando houver.</w:t>
      </w:r>
    </w:p>
    <w:p w14:paraId="02A6E40A" w14:textId="77777777" w:rsidR="009555C3" w:rsidRDefault="00F24209" w:rsidP="00F24209">
      <w:pPr>
        <w:spacing w:line="360" w:lineRule="auto"/>
        <w:jc w:val="both"/>
      </w:pPr>
      <w:r>
        <w:t xml:space="preserve">e) 50% (cinquenta por cento) de desconto na multa decorrente de obrigação acessória. </w:t>
      </w:r>
    </w:p>
    <w:p w14:paraId="70E0DD96" w14:textId="77777777" w:rsidR="009555C3" w:rsidRDefault="009555C3" w:rsidP="00F24209">
      <w:pPr>
        <w:spacing w:line="360" w:lineRule="auto"/>
        <w:jc w:val="both"/>
      </w:pPr>
    </w:p>
    <w:p w14:paraId="40E9007B" w14:textId="77777777" w:rsidR="009555C3" w:rsidRDefault="00F24209" w:rsidP="00F24209">
      <w:pPr>
        <w:spacing w:line="360" w:lineRule="auto"/>
        <w:jc w:val="both"/>
      </w:pPr>
      <w:r>
        <w:t xml:space="preserve">Art. 9º No caso dos parcelamentos previstos nos incisos II a VI do art. 8°: I - o valor mínimo de cada parcela não poderá ser inferior a: </w:t>
      </w:r>
    </w:p>
    <w:p w14:paraId="1328307F" w14:textId="77777777" w:rsidR="009555C3" w:rsidRDefault="00F24209" w:rsidP="00F24209">
      <w:pPr>
        <w:spacing w:line="360" w:lineRule="auto"/>
        <w:jc w:val="both"/>
      </w:pPr>
      <w:r>
        <w:lastRenderedPageBreak/>
        <w:t xml:space="preserve">a) R$ 50,00 (cinquenta reais) para pessoa física; </w:t>
      </w:r>
    </w:p>
    <w:p w14:paraId="7F22D48D" w14:textId="77777777" w:rsidR="009555C3" w:rsidRDefault="00F24209" w:rsidP="00F24209">
      <w:pPr>
        <w:spacing w:line="360" w:lineRule="auto"/>
        <w:jc w:val="both"/>
      </w:pPr>
      <w:r>
        <w:t>b) R$ 100,00 (cem reais) para microempreendedor individual</w:t>
      </w:r>
    </w:p>
    <w:p w14:paraId="50E6CAE0" w14:textId="77777777" w:rsidR="00D168C7" w:rsidRDefault="00F24209" w:rsidP="00F24209">
      <w:pPr>
        <w:spacing w:line="360" w:lineRule="auto"/>
        <w:jc w:val="both"/>
      </w:pPr>
      <w:r>
        <w:t xml:space="preserve">c) R$ 200,00 (duzentos reais) para microempresa, optante ou não do Simples Nacional e instituições sem fins lucrativos; </w:t>
      </w:r>
    </w:p>
    <w:p w14:paraId="00918179" w14:textId="77777777" w:rsidR="00D168C7" w:rsidRDefault="00F24209" w:rsidP="00F24209">
      <w:pPr>
        <w:spacing w:line="360" w:lineRule="auto"/>
        <w:jc w:val="both"/>
      </w:pPr>
      <w:r>
        <w:t xml:space="preserve">d) R$ 500,00 (quinhentos reais) para empresa de pequeno porte, optantes ou não do Simples Nacional e entidades não empresariais; </w:t>
      </w:r>
    </w:p>
    <w:p w14:paraId="2331231E" w14:textId="77777777" w:rsidR="00D168C7" w:rsidRDefault="00F24209" w:rsidP="00F24209">
      <w:pPr>
        <w:spacing w:line="360" w:lineRule="auto"/>
        <w:jc w:val="both"/>
      </w:pPr>
      <w:r>
        <w:t xml:space="preserve">e) R$ 1.000,00 (mil reais) para os demais contribuintes; </w:t>
      </w:r>
    </w:p>
    <w:p w14:paraId="03DE51CB" w14:textId="77777777" w:rsidR="00D168C7" w:rsidRDefault="00F24209" w:rsidP="00F24209">
      <w:pPr>
        <w:spacing w:line="360" w:lineRule="auto"/>
        <w:jc w:val="both"/>
      </w:pPr>
      <w:r>
        <w:t xml:space="preserve">II - o valor de cada parcela será atualizado monetariamente, na forma do art. 336 da Lei n° 2.168/2021 – Código Tributário e de Rendas do Município de Jequié, exceto no caso do parcelamento previsto no inciso VI do art. 8°; </w:t>
      </w:r>
    </w:p>
    <w:p w14:paraId="781396A3" w14:textId="77777777" w:rsidR="00D168C7" w:rsidRDefault="00F24209" w:rsidP="00F24209">
      <w:pPr>
        <w:spacing w:line="360" w:lineRule="auto"/>
        <w:jc w:val="both"/>
      </w:pPr>
      <w:r>
        <w:t xml:space="preserve">III - o contribuinte deve preencher o Termo de Confissão de Dívida e Opção de Parcelamento, conforme modelo definido em ato de Chefe do Poder Executivo; </w:t>
      </w:r>
    </w:p>
    <w:p w14:paraId="2DBA4845" w14:textId="77777777" w:rsidR="00D168C7" w:rsidRDefault="00F24209" w:rsidP="00F24209">
      <w:pPr>
        <w:spacing w:line="360" w:lineRule="auto"/>
        <w:jc w:val="both"/>
      </w:pPr>
      <w:r>
        <w:t xml:space="preserve">IV - o pedido de parcelamento implica em: </w:t>
      </w:r>
    </w:p>
    <w:p w14:paraId="0971761B" w14:textId="77777777" w:rsidR="00D168C7" w:rsidRDefault="00F24209" w:rsidP="00F24209">
      <w:pPr>
        <w:spacing w:line="360" w:lineRule="auto"/>
        <w:jc w:val="both"/>
      </w:pPr>
      <w:r>
        <w:t xml:space="preserve">a) confissão irrevogável e irretratável dos débitos; </w:t>
      </w:r>
    </w:p>
    <w:p w14:paraId="23537B5C" w14:textId="77777777" w:rsidR="00D168C7" w:rsidRDefault="00F24209" w:rsidP="00F24209">
      <w:pPr>
        <w:spacing w:line="360" w:lineRule="auto"/>
        <w:jc w:val="both"/>
      </w:pPr>
      <w:r>
        <w:t xml:space="preserve">b) expressa renúncia a qualquer defesa ou recurso administrativo ou judicial, bem como desistência dos já interpostos, relativamente aos débitos fiscais constantes do pedido. </w:t>
      </w:r>
    </w:p>
    <w:p w14:paraId="07F52CAF" w14:textId="77777777" w:rsidR="00D168C7" w:rsidRDefault="00F24209" w:rsidP="00F24209">
      <w:pPr>
        <w:spacing w:line="360" w:lineRule="auto"/>
        <w:jc w:val="both"/>
      </w:pPr>
      <w:r>
        <w:t xml:space="preserve">V - o parcelamento se efetiva após o pagamento da primeira parcela ou do sinal. VI - as parcelas pagas após os respectivos vencimentos, sofrerão acréscimos da atualização monetária e juros de 1% (um por cento) ao mês ou fração, calculados a partir da data do vencimento e até o dia do pagamento. </w:t>
      </w:r>
    </w:p>
    <w:p w14:paraId="33269555" w14:textId="77777777" w:rsidR="00D168C7" w:rsidRDefault="00D168C7" w:rsidP="00F24209">
      <w:pPr>
        <w:spacing w:line="360" w:lineRule="auto"/>
        <w:jc w:val="both"/>
      </w:pPr>
    </w:p>
    <w:p w14:paraId="54FA8248" w14:textId="6A3BB0F9" w:rsidR="00D168C7" w:rsidRDefault="00F24209" w:rsidP="00F24209">
      <w:pPr>
        <w:spacing w:line="360" w:lineRule="auto"/>
        <w:jc w:val="both"/>
      </w:pPr>
      <w:r>
        <w:t xml:space="preserve">Art. 10. Para participar do PROGRAMA DE REGULARIZAÇÃO DE DÉBITOS MUNICIPAIS o devedor deverá: </w:t>
      </w:r>
    </w:p>
    <w:p w14:paraId="0F012B29" w14:textId="77777777" w:rsidR="00D168C7" w:rsidRDefault="00D168C7" w:rsidP="00F24209">
      <w:pPr>
        <w:spacing w:line="360" w:lineRule="auto"/>
        <w:jc w:val="both"/>
      </w:pPr>
    </w:p>
    <w:p w14:paraId="1E1B2C02" w14:textId="77777777" w:rsidR="00D168C7" w:rsidRDefault="00F24209" w:rsidP="00F24209">
      <w:pPr>
        <w:spacing w:line="360" w:lineRule="auto"/>
        <w:jc w:val="both"/>
      </w:pPr>
      <w:r>
        <w:t xml:space="preserve">I - formalizar o pedido de participação no Programa, indicando os débitos a serem regularizados e a forma de pagamento; </w:t>
      </w:r>
    </w:p>
    <w:p w14:paraId="66FAA1E4" w14:textId="77777777" w:rsidR="00D168C7" w:rsidRDefault="00F24209" w:rsidP="00F24209">
      <w:pPr>
        <w:spacing w:line="360" w:lineRule="auto"/>
        <w:jc w:val="both"/>
      </w:pPr>
      <w:r>
        <w:t xml:space="preserve">II – atualizar todos seus dados cadastrais, na forma definida em ato do Poder Executivo; </w:t>
      </w:r>
    </w:p>
    <w:p w14:paraId="3BBAC652" w14:textId="77777777" w:rsidR="00D168C7" w:rsidRDefault="00F24209" w:rsidP="00F24209">
      <w:pPr>
        <w:spacing w:line="360" w:lineRule="auto"/>
        <w:jc w:val="both"/>
      </w:pPr>
      <w:r>
        <w:t xml:space="preserve">III – no caso de parcelamento, preencher e assinar o Termo de Confissão de Dívida e Requerimento de Parcelamento ou Assunção de Débito. </w:t>
      </w:r>
    </w:p>
    <w:p w14:paraId="7D77753D" w14:textId="6AD9AC7A" w:rsidR="00D168C7" w:rsidRDefault="00F24209" w:rsidP="00F24209">
      <w:pPr>
        <w:spacing w:line="360" w:lineRule="auto"/>
        <w:jc w:val="both"/>
      </w:pPr>
      <w:r>
        <w:lastRenderedPageBreak/>
        <w:t xml:space="preserve">IV – efetuar o pagamento da parcela única ou da primeira parcela do parcelamento até 29 de julho de 2022; </w:t>
      </w:r>
    </w:p>
    <w:p w14:paraId="2896E9A5" w14:textId="77777777" w:rsidR="00D168C7" w:rsidRDefault="00F24209" w:rsidP="00F24209">
      <w:pPr>
        <w:spacing w:line="360" w:lineRule="auto"/>
        <w:jc w:val="both"/>
      </w:pPr>
      <w:r>
        <w:t xml:space="preserve">V – efetuar o pagamento de custas judiciais, no caso de dívida em execução judicial. </w:t>
      </w:r>
    </w:p>
    <w:p w14:paraId="29B532E2" w14:textId="77777777" w:rsidR="00D168C7" w:rsidRDefault="00D168C7" w:rsidP="00F24209">
      <w:pPr>
        <w:spacing w:line="360" w:lineRule="auto"/>
        <w:jc w:val="both"/>
      </w:pPr>
    </w:p>
    <w:p w14:paraId="20749CB6" w14:textId="408E2F31" w:rsidR="00D168C7" w:rsidRDefault="00F24209" w:rsidP="00F24209">
      <w:pPr>
        <w:spacing w:line="360" w:lineRule="auto"/>
        <w:jc w:val="both"/>
      </w:pPr>
      <w:r>
        <w:t xml:space="preserve">Parágrafo único. Os contribuintes que tiverem débitos em curso de parcelamento ou de reparcelamento poderão usufruir dos benefícios deste Programa, em relação ao saldo remanescente vincendo, desde que esteja adimplente com as parcelas vencidas. </w:t>
      </w:r>
    </w:p>
    <w:p w14:paraId="5E3CCB2F" w14:textId="77777777" w:rsidR="00D168C7" w:rsidRDefault="00D168C7" w:rsidP="00F24209">
      <w:pPr>
        <w:spacing w:line="360" w:lineRule="auto"/>
        <w:jc w:val="both"/>
      </w:pPr>
    </w:p>
    <w:p w14:paraId="3A38158B" w14:textId="77777777" w:rsidR="00D168C7" w:rsidRDefault="00F24209" w:rsidP="00F24209">
      <w:pPr>
        <w:spacing w:line="360" w:lineRule="auto"/>
        <w:jc w:val="both"/>
      </w:pPr>
      <w:r>
        <w:t xml:space="preserve">CAPÍTULO III DAS DISPOSIÇÕES FINAIS </w:t>
      </w:r>
    </w:p>
    <w:p w14:paraId="3C1E45A9" w14:textId="77777777" w:rsidR="00D168C7" w:rsidRDefault="00D168C7" w:rsidP="00F24209">
      <w:pPr>
        <w:spacing w:line="360" w:lineRule="auto"/>
        <w:jc w:val="both"/>
      </w:pPr>
    </w:p>
    <w:p w14:paraId="3C007D8E" w14:textId="77777777" w:rsidR="00D168C7" w:rsidRDefault="00F24209" w:rsidP="00F24209">
      <w:pPr>
        <w:spacing w:line="360" w:lineRule="auto"/>
        <w:jc w:val="both"/>
      </w:pPr>
      <w:r>
        <w:t xml:space="preserve">Art. 11. Fica concedida isenção de 75% (setenta e cinco por cento) na Taxa de Licença de Execução de Obra para os serviços de pavimentação contratados pelo Município de Jequié. </w:t>
      </w:r>
    </w:p>
    <w:p w14:paraId="3F87F223" w14:textId="77777777" w:rsidR="00D168C7" w:rsidRDefault="00F24209" w:rsidP="00F24209">
      <w:pPr>
        <w:spacing w:line="360" w:lineRule="auto"/>
        <w:jc w:val="both"/>
      </w:pPr>
      <w:r>
        <w:t xml:space="preserve">Art. 12. Fica o Chefe do Poder Executivo autorizado a prorrogar: </w:t>
      </w:r>
    </w:p>
    <w:p w14:paraId="6D4FD765" w14:textId="77777777" w:rsidR="00D168C7" w:rsidRDefault="00F24209" w:rsidP="00F24209">
      <w:pPr>
        <w:spacing w:line="360" w:lineRule="auto"/>
        <w:jc w:val="both"/>
      </w:pPr>
      <w:r>
        <w:t xml:space="preserve">I - o prazo previsto no caput do art. 3°, limitado a 31 de dezembro de 2022. </w:t>
      </w:r>
    </w:p>
    <w:p w14:paraId="4C9131F6" w14:textId="77777777" w:rsidR="00D168C7" w:rsidRDefault="00F24209" w:rsidP="00F24209">
      <w:pPr>
        <w:spacing w:line="360" w:lineRule="auto"/>
        <w:jc w:val="both"/>
      </w:pPr>
      <w:r>
        <w:t xml:space="preserve">II - o prazo previsto no inciso IV do art. 10, limitado a 30 de setembro de 2022. </w:t>
      </w:r>
    </w:p>
    <w:p w14:paraId="3A0DA75A" w14:textId="77777777" w:rsidR="00D168C7" w:rsidRDefault="00D168C7" w:rsidP="00F24209">
      <w:pPr>
        <w:spacing w:line="360" w:lineRule="auto"/>
        <w:jc w:val="both"/>
      </w:pPr>
    </w:p>
    <w:p w14:paraId="1C5D4EC2" w14:textId="77777777" w:rsidR="00D168C7" w:rsidRDefault="00F24209" w:rsidP="00F24209">
      <w:pPr>
        <w:spacing w:line="360" w:lineRule="auto"/>
        <w:jc w:val="both"/>
      </w:pPr>
      <w:r>
        <w:t xml:space="preserve">Parágrafo único. Na hipótese de prorrogação do prazo previsto no inciso I do caput, ficam também prorrogados os prazos previstos no parágrafo único do art. 4° e no art. 5°. </w:t>
      </w:r>
    </w:p>
    <w:p w14:paraId="07826529" w14:textId="77777777" w:rsidR="00D168C7" w:rsidRDefault="00D168C7" w:rsidP="00F24209">
      <w:pPr>
        <w:spacing w:line="360" w:lineRule="auto"/>
        <w:jc w:val="both"/>
      </w:pPr>
    </w:p>
    <w:p w14:paraId="12604328" w14:textId="42A322FF" w:rsidR="00B720E8" w:rsidRPr="00B720E8" w:rsidRDefault="00F24209" w:rsidP="00F24209">
      <w:pPr>
        <w:spacing w:line="360" w:lineRule="auto"/>
        <w:jc w:val="both"/>
        <w:rPr>
          <w:rFonts w:ascii="Arial" w:hAnsi="Arial" w:cs="Arial"/>
          <w:color w:val="000000" w:themeColor="text1"/>
        </w:rPr>
      </w:pPr>
      <w:r>
        <w:t>Art. 13. Esta Lei entra em vigor na data de sua publicação.</w:t>
      </w:r>
    </w:p>
    <w:p w14:paraId="09F6CE8E" w14:textId="77777777" w:rsidR="00B720E8" w:rsidRDefault="00B720E8" w:rsidP="00B720E8">
      <w:pPr>
        <w:spacing w:line="360" w:lineRule="auto"/>
        <w:jc w:val="both"/>
        <w:rPr>
          <w:rFonts w:ascii="Arial" w:hAnsi="Arial" w:cs="Arial"/>
          <w:color w:val="000000" w:themeColor="text1"/>
        </w:rPr>
      </w:pPr>
    </w:p>
    <w:p w14:paraId="346D0AF1" w14:textId="4509CAC2" w:rsidR="009D142E" w:rsidRDefault="00B720E8" w:rsidP="00B720E8">
      <w:pPr>
        <w:spacing w:line="360" w:lineRule="auto"/>
        <w:jc w:val="both"/>
        <w:rPr>
          <w:rFonts w:ascii="Arial" w:hAnsi="Arial" w:cs="Arial"/>
          <w:color w:val="000000" w:themeColor="text1"/>
        </w:rPr>
      </w:pPr>
      <w:r>
        <w:rPr>
          <w:rFonts w:ascii="Arial" w:hAnsi="Arial" w:cs="Arial"/>
          <w:color w:val="000000" w:themeColor="text1"/>
        </w:rPr>
        <w:t xml:space="preserve">Sala das Sessões, </w:t>
      </w:r>
      <w:r w:rsidR="00102840">
        <w:rPr>
          <w:rFonts w:ascii="Arial" w:hAnsi="Arial" w:cs="Arial"/>
          <w:color w:val="000000" w:themeColor="text1"/>
        </w:rPr>
        <w:t>14</w:t>
      </w:r>
      <w:r>
        <w:rPr>
          <w:rFonts w:ascii="Arial" w:hAnsi="Arial" w:cs="Arial"/>
          <w:color w:val="000000" w:themeColor="text1"/>
        </w:rPr>
        <w:t xml:space="preserve"> de ju</w:t>
      </w:r>
      <w:r w:rsidR="00102840">
        <w:rPr>
          <w:rFonts w:ascii="Arial" w:hAnsi="Arial" w:cs="Arial"/>
          <w:color w:val="000000" w:themeColor="text1"/>
        </w:rPr>
        <w:t>l</w:t>
      </w:r>
      <w:r>
        <w:rPr>
          <w:rFonts w:ascii="Arial" w:hAnsi="Arial" w:cs="Arial"/>
          <w:color w:val="000000" w:themeColor="text1"/>
        </w:rPr>
        <w:t>ho de 2022.</w:t>
      </w:r>
    </w:p>
    <w:p w14:paraId="2D335D69" w14:textId="07936DEC" w:rsidR="00D53A69" w:rsidRDefault="00D53A69" w:rsidP="00B720E8">
      <w:pPr>
        <w:spacing w:line="360" w:lineRule="auto"/>
        <w:jc w:val="both"/>
        <w:rPr>
          <w:rFonts w:ascii="Arial" w:hAnsi="Arial" w:cs="Arial"/>
          <w:color w:val="000000" w:themeColor="text1"/>
        </w:rPr>
      </w:pPr>
    </w:p>
    <w:p w14:paraId="1920C3F1" w14:textId="77777777" w:rsidR="00D53A69" w:rsidRPr="00654815" w:rsidRDefault="00D53A69" w:rsidP="00D53A69">
      <w:pPr>
        <w:jc w:val="center"/>
        <w:rPr>
          <w:rFonts w:ascii="Tahoma" w:hAnsi="Tahoma" w:cs="Tahoma"/>
          <w:b/>
          <w:bCs/>
        </w:rPr>
      </w:pPr>
    </w:p>
    <w:p w14:paraId="50313F62" w14:textId="77777777" w:rsidR="008B110B" w:rsidRDefault="008B110B" w:rsidP="00D53A69">
      <w:pPr>
        <w:rPr>
          <w:rFonts w:ascii="Arial" w:hAnsi="Arial" w:cs="Arial"/>
          <w:b/>
          <w:bCs/>
        </w:rPr>
      </w:pPr>
    </w:p>
    <w:p w14:paraId="1909A33C" w14:textId="56D8A4A5" w:rsidR="00D53A69" w:rsidRPr="0007111D" w:rsidRDefault="00D53A69" w:rsidP="00D53A69">
      <w:pPr>
        <w:rPr>
          <w:rFonts w:ascii="Arial" w:hAnsi="Arial" w:cs="Arial"/>
          <w:b/>
          <w:bCs/>
        </w:rPr>
      </w:pPr>
      <w:r w:rsidRPr="0007111D">
        <w:rPr>
          <w:rFonts w:ascii="Arial" w:hAnsi="Arial" w:cs="Arial"/>
          <w:b/>
          <w:bCs/>
        </w:rPr>
        <w:t>Gilvan Santana</w:t>
      </w:r>
      <w:r w:rsidRPr="0007111D">
        <w:rPr>
          <w:rFonts w:ascii="Arial" w:hAnsi="Arial" w:cs="Arial"/>
          <w:b/>
          <w:bCs/>
        </w:rPr>
        <w:tab/>
      </w:r>
      <w:r w:rsidRPr="0007111D">
        <w:rPr>
          <w:rFonts w:ascii="Arial" w:hAnsi="Arial" w:cs="Arial"/>
          <w:b/>
          <w:bCs/>
        </w:rPr>
        <w:tab/>
      </w:r>
      <w:r w:rsidRPr="0007111D">
        <w:rPr>
          <w:rFonts w:ascii="Arial" w:hAnsi="Arial" w:cs="Arial"/>
          <w:b/>
          <w:bCs/>
        </w:rPr>
        <w:tab/>
      </w:r>
      <w:r w:rsidRPr="0007111D">
        <w:rPr>
          <w:rFonts w:ascii="Arial" w:hAnsi="Arial" w:cs="Arial"/>
          <w:b/>
          <w:bCs/>
        </w:rPr>
        <w:tab/>
      </w:r>
      <w:r w:rsidRPr="0007111D">
        <w:rPr>
          <w:rFonts w:ascii="Arial" w:hAnsi="Arial" w:cs="Arial"/>
          <w:b/>
          <w:bCs/>
        </w:rPr>
        <w:tab/>
        <w:t>S</w:t>
      </w:r>
      <w:r>
        <w:rPr>
          <w:rFonts w:ascii="Arial" w:hAnsi="Arial" w:cs="Arial"/>
          <w:b/>
          <w:bCs/>
        </w:rPr>
        <w:t>idney Magal</w:t>
      </w:r>
    </w:p>
    <w:p w14:paraId="21C7EE7E" w14:textId="77777777" w:rsidR="00D53A69" w:rsidRPr="0007111D" w:rsidRDefault="00D53A69" w:rsidP="00D53A69">
      <w:pPr>
        <w:rPr>
          <w:rFonts w:ascii="Arial" w:hAnsi="Arial" w:cs="Arial"/>
          <w:b/>
          <w:bCs/>
        </w:rPr>
      </w:pPr>
    </w:p>
    <w:p w14:paraId="0E152C5F" w14:textId="77777777" w:rsidR="00D53A69" w:rsidRPr="0007111D" w:rsidRDefault="00D53A69" w:rsidP="00D53A69">
      <w:pPr>
        <w:adjustRightInd w:val="0"/>
        <w:rPr>
          <w:rFonts w:ascii="Arial" w:hAnsi="Arial" w:cs="Arial"/>
          <w:b/>
          <w:bCs/>
          <w:i/>
        </w:rPr>
      </w:pPr>
    </w:p>
    <w:p w14:paraId="5D53EEC2" w14:textId="77777777" w:rsidR="00D53A69" w:rsidRPr="0007111D" w:rsidRDefault="00D53A69" w:rsidP="00D53A69">
      <w:pPr>
        <w:adjustRightInd w:val="0"/>
        <w:rPr>
          <w:rFonts w:ascii="Arial" w:hAnsi="Arial" w:cs="Arial"/>
          <w:b/>
          <w:bCs/>
          <w:i/>
        </w:rPr>
      </w:pPr>
    </w:p>
    <w:p w14:paraId="5DA7BC76" w14:textId="77777777" w:rsidR="008B110B" w:rsidRDefault="008B110B" w:rsidP="00D53A69">
      <w:pPr>
        <w:adjustRightInd w:val="0"/>
        <w:rPr>
          <w:rFonts w:ascii="Arial" w:hAnsi="Arial" w:cs="Arial"/>
          <w:b/>
          <w:bCs/>
          <w:i/>
        </w:rPr>
      </w:pPr>
    </w:p>
    <w:p w14:paraId="24604237" w14:textId="77777777" w:rsidR="008B110B" w:rsidRDefault="008B110B" w:rsidP="00D53A69">
      <w:pPr>
        <w:adjustRightInd w:val="0"/>
        <w:rPr>
          <w:rFonts w:ascii="Arial" w:hAnsi="Arial" w:cs="Arial"/>
          <w:b/>
          <w:bCs/>
          <w:i/>
        </w:rPr>
      </w:pPr>
    </w:p>
    <w:p w14:paraId="77FB75CB" w14:textId="1BD8FCB1" w:rsidR="00D53A69" w:rsidRDefault="00D53A69" w:rsidP="00D53A69">
      <w:pPr>
        <w:adjustRightInd w:val="0"/>
        <w:rPr>
          <w:rFonts w:ascii="Arial" w:hAnsi="Arial" w:cs="Arial"/>
          <w:b/>
          <w:bCs/>
          <w:i/>
        </w:rPr>
      </w:pPr>
      <w:r w:rsidRPr="0007111D">
        <w:rPr>
          <w:rFonts w:ascii="Arial" w:hAnsi="Arial" w:cs="Arial"/>
          <w:b/>
          <w:bCs/>
          <w:i/>
        </w:rPr>
        <w:t>Ramon Fernandes                                                         Ladislau Muniz d Bulhões Filho</w:t>
      </w:r>
    </w:p>
    <w:p w14:paraId="6E62DB6E" w14:textId="77777777" w:rsidR="008B110B" w:rsidRPr="0007111D" w:rsidRDefault="008B110B" w:rsidP="00D53A69">
      <w:pPr>
        <w:adjustRightInd w:val="0"/>
        <w:rPr>
          <w:rFonts w:ascii="Arial" w:hAnsi="Arial" w:cs="Arial"/>
          <w:b/>
          <w:bCs/>
          <w:i/>
        </w:rPr>
      </w:pPr>
    </w:p>
    <w:p w14:paraId="04E2ED7A" w14:textId="77777777" w:rsidR="00D53A69" w:rsidRPr="0007111D" w:rsidRDefault="00D53A69" w:rsidP="00D53A69">
      <w:pPr>
        <w:adjustRightInd w:val="0"/>
        <w:rPr>
          <w:rFonts w:ascii="Arial" w:hAnsi="Arial" w:cs="Arial"/>
          <w:b/>
          <w:bCs/>
          <w:i/>
        </w:rPr>
      </w:pPr>
    </w:p>
    <w:p w14:paraId="10BD1732" w14:textId="77777777" w:rsidR="00D53A69" w:rsidRPr="0007111D" w:rsidRDefault="00D53A69" w:rsidP="00D53A69">
      <w:pPr>
        <w:adjustRightInd w:val="0"/>
        <w:rPr>
          <w:rFonts w:ascii="Arial" w:hAnsi="Arial" w:cs="Arial"/>
          <w:b/>
          <w:bCs/>
          <w:i/>
        </w:rPr>
      </w:pPr>
    </w:p>
    <w:p w14:paraId="412FA3A5" w14:textId="77777777" w:rsidR="00D53A69" w:rsidRPr="0007111D" w:rsidRDefault="00D53A69" w:rsidP="00D53A69">
      <w:pPr>
        <w:adjustRightInd w:val="0"/>
        <w:rPr>
          <w:rFonts w:ascii="Arial" w:hAnsi="Arial" w:cs="Arial"/>
          <w:b/>
          <w:bCs/>
          <w:i/>
        </w:rPr>
      </w:pPr>
    </w:p>
    <w:p w14:paraId="3DECA591" w14:textId="7826730F" w:rsidR="00D53A69" w:rsidRDefault="00D53A69" w:rsidP="00D53A69">
      <w:pPr>
        <w:adjustRightInd w:val="0"/>
        <w:jc w:val="center"/>
        <w:rPr>
          <w:rFonts w:ascii="Arial" w:hAnsi="Arial" w:cs="Arial"/>
          <w:b/>
          <w:bCs/>
          <w:i/>
        </w:rPr>
      </w:pPr>
      <w:r w:rsidRPr="0007111D">
        <w:rPr>
          <w:rFonts w:ascii="Arial" w:hAnsi="Arial" w:cs="Arial"/>
          <w:b/>
          <w:bCs/>
          <w:i/>
        </w:rPr>
        <w:t>Joaquim Cair</w:t>
      </w:r>
      <w:r>
        <w:rPr>
          <w:rFonts w:ascii="Arial" w:hAnsi="Arial" w:cs="Arial"/>
          <w:b/>
          <w:bCs/>
          <w:i/>
        </w:rPr>
        <w:t>es</w:t>
      </w:r>
    </w:p>
    <w:p w14:paraId="76190A9F" w14:textId="39B95F7C" w:rsidR="00840FFC" w:rsidRDefault="00840FFC" w:rsidP="00D53A69">
      <w:pPr>
        <w:adjustRightInd w:val="0"/>
        <w:jc w:val="center"/>
        <w:rPr>
          <w:rFonts w:ascii="Arial" w:hAnsi="Arial" w:cs="Arial"/>
          <w:b/>
          <w:bCs/>
          <w:i/>
        </w:rPr>
      </w:pPr>
    </w:p>
    <w:p w14:paraId="1790FD47" w14:textId="77777777" w:rsidR="00840FFC" w:rsidRDefault="00840FFC" w:rsidP="00D53A69">
      <w:pPr>
        <w:adjustRightInd w:val="0"/>
        <w:jc w:val="center"/>
        <w:rPr>
          <w:rFonts w:ascii="Arial" w:hAnsi="Arial" w:cs="Arial"/>
          <w:color w:val="000000" w:themeColor="text1"/>
        </w:rPr>
      </w:pPr>
    </w:p>
    <w:p w14:paraId="058C6A0E" w14:textId="3AEE495E" w:rsidR="00D53A69" w:rsidRPr="00B720E8" w:rsidRDefault="00280AFE" w:rsidP="00B720E8">
      <w:pPr>
        <w:spacing w:line="360" w:lineRule="auto"/>
        <w:jc w:val="both"/>
        <w:rPr>
          <w:rFonts w:ascii="Arial" w:hAnsi="Arial" w:cs="Arial"/>
          <w:color w:val="000000" w:themeColor="text1"/>
        </w:rPr>
      </w:pPr>
      <w:r>
        <w:rPr>
          <w:rFonts w:ascii="Arial" w:hAnsi="Arial" w:cs="Arial"/>
          <w:noProof/>
          <w:color w:val="000000" w:themeColor="text1"/>
          <w:sz w:val="24"/>
          <w:szCs w:val="24"/>
        </w:rPr>
        <w:drawing>
          <wp:inline distT="0" distB="0" distL="0" distR="0" wp14:anchorId="62816ED7" wp14:editId="4D7CAD69">
            <wp:extent cx="3169920" cy="23431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9920" cy="2343150"/>
                    </a:xfrm>
                    <a:prstGeom prst="rect">
                      <a:avLst/>
                    </a:prstGeom>
                    <a:noFill/>
                  </pic:spPr>
                </pic:pic>
              </a:graphicData>
            </a:graphic>
          </wp:inline>
        </w:drawing>
      </w:r>
    </w:p>
    <w:sectPr w:rsidR="00D53A69" w:rsidRPr="00B720E8" w:rsidSect="00102840">
      <w:headerReference w:type="default" r:id="rId9"/>
      <w:footerReference w:type="default" r:id="rId10"/>
      <w:pgSz w:w="11910" w:h="16840"/>
      <w:pgMar w:top="1660" w:right="1480" w:bottom="280" w:left="1480" w:header="2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0A879" w14:textId="77777777" w:rsidR="00821D77" w:rsidRDefault="00821D77">
      <w:r>
        <w:separator/>
      </w:r>
    </w:p>
  </w:endnote>
  <w:endnote w:type="continuationSeparator" w:id="0">
    <w:p w14:paraId="45B16B18" w14:textId="77777777" w:rsidR="00821D77" w:rsidRDefault="0082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3E1E" w14:textId="77777777" w:rsidR="00A75A2C" w:rsidRPr="00A97B6C" w:rsidRDefault="00A75A2C" w:rsidP="00A75A2C">
    <w:pPr>
      <w:ind w:right="357"/>
      <w:jc w:val="center"/>
      <w:rPr>
        <w:rFonts w:ascii="Arial" w:hAnsi="Arial" w:cs="Arial"/>
        <w:color w:val="000000"/>
        <w:sz w:val="16"/>
        <w:szCs w:val="16"/>
      </w:rPr>
    </w:pPr>
    <w:r>
      <w:rPr>
        <w:rFonts w:ascii="Arial" w:hAnsi="Arial" w:cs="Arial"/>
        <w:color w:val="000000"/>
        <w:sz w:val="16"/>
        <w:szCs w:val="16"/>
      </w:rPr>
      <w:t>_________________________________________________________________________________________________</w:t>
    </w:r>
    <w:r>
      <w:rPr>
        <w:rFonts w:ascii="Arial" w:hAnsi="Arial" w:cs="Arial"/>
        <w:color w:val="000000"/>
        <w:sz w:val="16"/>
        <w:szCs w:val="16"/>
      </w:rPr>
      <w:br/>
    </w:r>
    <w:r w:rsidRPr="00A97B6C">
      <w:rPr>
        <w:rFonts w:ascii="Arial" w:hAnsi="Arial" w:cs="Arial"/>
        <w:color w:val="000000"/>
        <w:sz w:val="16"/>
        <w:szCs w:val="16"/>
      </w:rPr>
      <w:t xml:space="preserve">Câmara </w:t>
    </w:r>
    <w:r w:rsidRPr="00A97B6C">
      <w:rPr>
        <w:rFonts w:ascii="Arial" w:hAnsi="Arial" w:cs="Arial"/>
        <w:color w:val="000000"/>
        <w:sz w:val="16"/>
        <w:szCs w:val="16"/>
      </w:rPr>
      <w:t xml:space="preserve">Municipal de Jequié - Rua </w:t>
    </w:r>
    <w:r>
      <w:rPr>
        <w:rFonts w:ascii="Arial" w:hAnsi="Arial" w:cs="Arial"/>
        <w:color w:val="000000"/>
        <w:sz w:val="16"/>
        <w:szCs w:val="16"/>
      </w:rPr>
      <w:t>2</w:t>
    </w:r>
    <w:r w:rsidRPr="00A97B6C">
      <w:rPr>
        <w:rFonts w:ascii="Arial" w:hAnsi="Arial" w:cs="Arial"/>
        <w:color w:val="000000"/>
        <w:sz w:val="16"/>
        <w:szCs w:val="16"/>
      </w:rPr>
      <w:t xml:space="preserve"> de Julho, 79, Centro – Jequié-BA </w:t>
    </w:r>
    <w:r>
      <w:rPr>
        <w:rFonts w:ascii="Arial" w:hAnsi="Arial" w:cs="Arial"/>
        <w:color w:val="000000"/>
        <w:sz w:val="16"/>
        <w:szCs w:val="16"/>
      </w:rPr>
      <w:t xml:space="preserve">- </w:t>
    </w:r>
    <w:r w:rsidRPr="00A97B6C">
      <w:rPr>
        <w:rFonts w:ascii="Arial" w:hAnsi="Arial" w:cs="Arial"/>
        <w:color w:val="000000"/>
        <w:sz w:val="16"/>
        <w:szCs w:val="16"/>
      </w:rPr>
      <w:t xml:space="preserve">CEP: 45.200-270 </w:t>
    </w:r>
  </w:p>
  <w:p w14:paraId="5D59ED92" w14:textId="77777777" w:rsidR="00A75A2C" w:rsidRPr="00A97B6C" w:rsidRDefault="00A75A2C" w:rsidP="00A75A2C">
    <w:pPr>
      <w:ind w:right="357"/>
      <w:jc w:val="center"/>
      <w:rPr>
        <w:rFonts w:ascii="Arial" w:hAnsi="Arial" w:cs="Arial"/>
        <w:color w:val="FF0000"/>
        <w:sz w:val="16"/>
        <w:szCs w:val="16"/>
      </w:rPr>
    </w:pPr>
    <w:r w:rsidRPr="00A97B6C">
      <w:rPr>
        <w:rFonts w:ascii="Arial" w:hAnsi="Arial" w:cs="Arial"/>
        <w:color w:val="000000"/>
        <w:sz w:val="16"/>
        <w:szCs w:val="16"/>
      </w:rPr>
      <w:t xml:space="preserve">Portal Modelo: </w:t>
    </w:r>
    <w:hyperlink r:id="rId1" w:history="1">
      <w:r w:rsidRPr="00CE2EB0">
        <w:rPr>
          <w:rStyle w:val="Hyperlink"/>
          <w:rFonts w:ascii="Arial" w:hAnsi="Arial" w:cs="Arial"/>
          <w:sz w:val="16"/>
          <w:szCs w:val="16"/>
        </w:rPr>
        <w:t>http://jequie.ba.leg.br</w:t>
      </w:r>
    </w:hyperlink>
    <w:r>
      <w:rPr>
        <w:rFonts w:ascii="Arial" w:hAnsi="Arial" w:cs="Arial"/>
        <w:color w:val="000000"/>
        <w:sz w:val="16"/>
        <w:szCs w:val="16"/>
      </w:rPr>
      <w:t xml:space="preserve">  </w:t>
    </w:r>
    <w:r w:rsidRPr="00A97B6C">
      <w:rPr>
        <w:rFonts w:ascii="Arial" w:hAnsi="Arial" w:cs="Arial"/>
        <w:color w:val="000000"/>
        <w:sz w:val="16"/>
        <w:szCs w:val="16"/>
      </w:rPr>
      <w:t xml:space="preserve"> | E-mail: </w:t>
    </w:r>
    <w:hyperlink r:id="rId2" w:history="1">
      <w:r w:rsidRPr="00A97B6C">
        <w:rPr>
          <w:rStyle w:val="Hyperlink"/>
          <w:rFonts w:ascii="Arial" w:hAnsi="Arial" w:cs="Arial"/>
          <w:sz w:val="16"/>
          <w:szCs w:val="16"/>
        </w:rPr>
        <w:t>camaramunicipaldejequie@jequie.ba.leg.br</w:t>
      </w:r>
    </w:hyperlink>
    <w:r w:rsidRPr="00A97B6C">
      <w:rPr>
        <w:rFonts w:ascii="Arial" w:hAnsi="Arial" w:cs="Arial"/>
        <w:color w:val="000000"/>
        <w:sz w:val="16"/>
        <w:szCs w:val="16"/>
      </w:rPr>
      <w:t xml:space="preserve"> | contato (073) 3528 8600.</w:t>
    </w:r>
  </w:p>
  <w:p w14:paraId="5DFBF0B9" w14:textId="77777777" w:rsidR="00A75A2C" w:rsidRPr="00846E84" w:rsidRDefault="00A75A2C" w:rsidP="00A75A2C">
    <w:pPr>
      <w:tabs>
        <w:tab w:val="center" w:pos="4252"/>
        <w:tab w:val="right" w:pos="8504"/>
      </w:tabs>
      <w:jc w:val="center"/>
      <w:rPr>
        <w:rFonts w:eastAsia="Calibri"/>
        <w:sz w:val="16"/>
        <w:szCs w:val="16"/>
      </w:rPr>
    </w:pPr>
    <w:r w:rsidRPr="00846E84">
      <w:rPr>
        <w:rFonts w:eastAsia="Calibri"/>
        <w:sz w:val="16"/>
        <w:szCs w:val="16"/>
      </w:rPr>
      <w:t xml:space="preserve"> </w:t>
    </w:r>
  </w:p>
  <w:p w14:paraId="48F374A9" w14:textId="77777777" w:rsidR="00A75A2C" w:rsidRDefault="00A75A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BE0E1" w14:textId="77777777" w:rsidR="00821D77" w:rsidRDefault="00821D77">
      <w:r>
        <w:separator/>
      </w:r>
    </w:p>
  </w:footnote>
  <w:footnote w:type="continuationSeparator" w:id="0">
    <w:p w14:paraId="6AE2A527" w14:textId="77777777" w:rsidR="00821D77" w:rsidRDefault="00821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FD3E" w14:textId="77777777" w:rsidR="00A75A2C" w:rsidRDefault="00A75A2C" w:rsidP="00A75A2C">
    <w:pPr>
      <w:pStyle w:val="Cabealho"/>
      <w:jc w:val="center"/>
    </w:pPr>
    <w:r>
      <w:rPr>
        <w:noProof/>
      </w:rPr>
      <w:drawing>
        <wp:inline distT="0" distB="0" distL="0" distR="0" wp14:anchorId="639A5D0D" wp14:editId="33F0A84B">
          <wp:extent cx="1009650" cy="10096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72752782" w14:textId="77777777" w:rsidR="00A75A2C" w:rsidRDefault="00A75A2C" w:rsidP="00A75A2C">
    <w:pPr>
      <w:pStyle w:val="Cabealho"/>
      <w:jc w:val="center"/>
      <w:rPr>
        <w:rFonts w:ascii="Arial" w:hAnsi="Arial" w:cs="Arial"/>
      </w:rPr>
    </w:pPr>
    <w:r>
      <w:rPr>
        <w:rFonts w:ascii="Arial" w:hAnsi="Arial" w:cs="Arial"/>
      </w:rPr>
      <w:t>ESTADO DA BAHIA</w:t>
    </w:r>
  </w:p>
  <w:p w14:paraId="1379AD53" w14:textId="77777777" w:rsidR="00A75A2C" w:rsidRPr="00A97B6C" w:rsidRDefault="00A75A2C" w:rsidP="00A75A2C">
    <w:pPr>
      <w:pStyle w:val="Cabealho"/>
      <w:jc w:val="center"/>
      <w:rPr>
        <w:rFonts w:ascii="Arial Black" w:hAnsi="Arial Black" w:cs="Arial"/>
        <w:b/>
        <w:bCs/>
        <w:sz w:val="32"/>
        <w:szCs w:val="32"/>
      </w:rPr>
    </w:pPr>
    <w:r w:rsidRPr="00A97B6C">
      <w:rPr>
        <w:rFonts w:ascii="Arial Black" w:hAnsi="Arial Black" w:cs="Arial"/>
        <w:b/>
        <w:bCs/>
        <w:sz w:val="32"/>
        <w:szCs w:val="32"/>
      </w:rPr>
      <w:t>CÂMARA MUNICIPAL DE JEQUIÉ</w:t>
    </w:r>
  </w:p>
  <w:p w14:paraId="3DFB0FCF" w14:textId="77777777" w:rsidR="00A75A2C" w:rsidRDefault="00A75A2C" w:rsidP="00A75A2C">
    <w:pPr>
      <w:pStyle w:val="Cabealho"/>
      <w:jc w:val="center"/>
      <w:rPr>
        <w:rFonts w:ascii="Arial" w:hAnsi="Arial" w:cs="Arial"/>
      </w:rPr>
    </w:pPr>
    <w:r>
      <w:rPr>
        <w:rFonts w:ascii="Arial" w:hAnsi="Arial" w:cs="Arial"/>
      </w:rPr>
      <w:t>“Casa de Zenildo Tourinho”</w:t>
    </w:r>
  </w:p>
  <w:p w14:paraId="471558D2" w14:textId="77777777" w:rsidR="00A75A2C" w:rsidRDefault="00A75A2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414C"/>
    <w:multiLevelType w:val="multilevel"/>
    <w:tmpl w:val="9284805A"/>
    <w:lvl w:ilvl="0">
      <w:start w:val="2"/>
      <w:numFmt w:val="decimal"/>
      <w:lvlText w:val="%1"/>
      <w:lvlJc w:val="left"/>
      <w:pPr>
        <w:ind w:left="222" w:hanging="384"/>
        <w:jc w:val="left"/>
      </w:pPr>
      <w:rPr>
        <w:rFonts w:hint="default"/>
        <w:lang w:val="pt-PT" w:eastAsia="en-US" w:bidi="ar-SA"/>
      </w:rPr>
    </w:lvl>
    <w:lvl w:ilvl="1">
      <w:start w:val="1"/>
      <w:numFmt w:val="decimal"/>
      <w:lvlText w:val="%1.%2"/>
      <w:lvlJc w:val="left"/>
      <w:pPr>
        <w:ind w:left="222" w:hanging="384"/>
        <w:jc w:val="left"/>
      </w:pPr>
      <w:rPr>
        <w:rFonts w:ascii="Verdana" w:eastAsia="Verdana" w:hAnsi="Verdana" w:cs="Verdana" w:hint="default"/>
        <w:spacing w:val="-2"/>
        <w:w w:val="83"/>
        <w:sz w:val="22"/>
        <w:szCs w:val="22"/>
        <w:lang w:val="pt-PT" w:eastAsia="en-US" w:bidi="ar-SA"/>
      </w:rPr>
    </w:lvl>
    <w:lvl w:ilvl="2">
      <w:start w:val="1"/>
      <w:numFmt w:val="decimal"/>
      <w:lvlText w:val="%1.%2.%3."/>
      <w:lvlJc w:val="left"/>
      <w:pPr>
        <w:ind w:left="222" w:hanging="653"/>
        <w:jc w:val="left"/>
      </w:pPr>
      <w:rPr>
        <w:rFonts w:ascii="Verdana" w:eastAsia="Verdana" w:hAnsi="Verdana" w:cs="Verdana" w:hint="default"/>
        <w:spacing w:val="-2"/>
        <w:w w:val="83"/>
        <w:sz w:val="22"/>
        <w:szCs w:val="22"/>
        <w:lang w:val="pt-PT" w:eastAsia="en-US" w:bidi="ar-SA"/>
      </w:rPr>
    </w:lvl>
    <w:lvl w:ilvl="3">
      <w:numFmt w:val="bullet"/>
      <w:lvlText w:val="•"/>
      <w:lvlJc w:val="left"/>
      <w:pPr>
        <w:ind w:left="2837" w:hanging="653"/>
      </w:pPr>
      <w:rPr>
        <w:rFonts w:hint="default"/>
        <w:lang w:val="pt-PT" w:eastAsia="en-US" w:bidi="ar-SA"/>
      </w:rPr>
    </w:lvl>
    <w:lvl w:ilvl="4">
      <w:numFmt w:val="bullet"/>
      <w:lvlText w:val="•"/>
      <w:lvlJc w:val="left"/>
      <w:pPr>
        <w:ind w:left="3710" w:hanging="653"/>
      </w:pPr>
      <w:rPr>
        <w:rFonts w:hint="default"/>
        <w:lang w:val="pt-PT" w:eastAsia="en-US" w:bidi="ar-SA"/>
      </w:rPr>
    </w:lvl>
    <w:lvl w:ilvl="5">
      <w:numFmt w:val="bullet"/>
      <w:lvlText w:val="•"/>
      <w:lvlJc w:val="left"/>
      <w:pPr>
        <w:ind w:left="4583" w:hanging="653"/>
      </w:pPr>
      <w:rPr>
        <w:rFonts w:hint="default"/>
        <w:lang w:val="pt-PT" w:eastAsia="en-US" w:bidi="ar-SA"/>
      </w:rPr>
    </w:lvl>
    <w:lvl w:ilvl="6">
      <w:numFmt w:val="bullet"/>
      <w:lvlText w:val="•"/>
      <w:lvlJc w:val="left"/>
      <w:pPr>
        <w:ind w:left="5455" w:hanging="653"/>
      </w:pPr>
      <w:rPr>
        <w:rFonts w:hint="default"/>
        <w:lang w:val="pt-PT" w:eastAsia="en-US" w:bidi="ar-SA"/>
      </w:rPr>
    </w:lvl>
    <w:lvl w:ilvl="7">
      <w:numFmt w:val="bullet"/>
      <w:lvlText w:val="•"/>
      <w:lvlJc w:val="left"/>
      <w:pPr>
        <w:ind w:left="6328" w:hanging="653"/>
      </w:pPr>
      <w:rPr>
        <w:rFonts w:hint="default"/>
        <w:lang w:val="pt-PT" w:eastAsia="en-US" w:bidi="ar-SA"/>
      </w:rPr>
    </w:lvl>
    <w:lvl w:ilvl="8">
      <w:numFmt w:val="bullet"/>
      <w:lvlText w:val="•"/>
      <w:lvlJc w:val="left"/>
      <w:pPr>
        <w:ind w:left="7201" w:hanging="653"/>
      </w:pPr>
      <w:rPr>
        <w:rFonts w:hint="default"/>
        <w:lang w:val="pt-PT" w:eastAsia="en-US" w:bidi="ar-SA"/>
      </w:rPr>
    </w:lvl>
  </w:abstractNum>
  <w:abstractNum w:abstractNumId="1" w15:restartNumberingAfterBreak="0">
    <w:nsid w:val="15D94AA9"/>
    <w:multiLevelType w:val="multilevel"/>
    <w:tmpl w:val="7F56770A"/>
    <w:lvl w:ilvl="0">
      <w:start w:val="6"/>
      <w:numFmt w:val="decimal"/>
      <w:lvlText w:val="%1"/>
      <w:lvlJc w:val="left"/>
      <w:pPr>
        <w:ind w:left="222" w:hanging="365"/>
        <w:jc w:val="left"/>
      </w:pPr>
      <w:rPr>
        <w:rFonts w:hint="default"/>
        <w:lang w:val="pt-PT" w:eastAsia="en-US" w:bidi="ar-SA"/>
      </w:rPr>
    </w:lvl>
    <w:lvl w:ilvl="1">
      <w:start w:val="1"/>
      <w:numFmt w:val="decimal"/>
      <w:lvlText w:val="%1.%2"/>
      <w:lvlJc w:val="left"/>
      <w:pPr>
        <w:ind w:left="222" w:hanging="365"/>
        <w:jc w:val="left"/>
      </w:pPr>
      <w:rPr>
        <w:rFonts w:ascii="Verdana" w:eastAsia="Verdana" w:hAnsi="Verdana" w:cs="Verdana" w:hint="default"/>
        <w:spacing w:val="-2"/>
        <w:w w:val="83"/>
        <w:sz w:val="22"/>
        <w:szCs w:val="22"/>
        <w:lang w:val="pt-PT" w:eastAsia="en-US" w:bidi="ar-SA"/>
      </w:rPr>
    </w:lvl>
    <w:lvl w:ilvl="2">
      <w:start w:val="1"/>
      <w:numFmt w:val="decimal"/>
      <w:lvlText w:val="%1.%2.%3."/>
      <w:lvlJc w:val="left"/>
      <w:pPr>
        <w:ind w:left="222" w:hanging="629"/>
        <w:jc w:val="left"/>
      </w:pPr>
      <w:rPr>
        <w:rFonts w:ascii="Verdana" w:eastAsia="Verdana" w:hAnsi="Verdana" w:cs="Verdana" w:hint="default"/>
        <w:spacing w:val="-2"/>
        <w:w w:val="83"/>
        <w:sz w:val="22"/>
        <w:szCs w:val="22"/>
        <w:lang w:val="pt-PT" w:eastAsia="en-US" w:bidi="ar-SA"/>
      </w:rPr>
    </w:lvl>
    <w:lvl w:ilvl="3">
      <w:numFmt w:val="bullet"/>
      <w:lvlText w:val="•"/>
      <w:lvlJc w:val="left"/>
      <w:pPr>
        <w:ind w:left="2837" w:hanging="629"/>
      </w:pPr>
      <w:rPr>
        <w:rFonts w:hint="default"/>
        <w:lang w:val="pt-PT" w:eastAsia="en-US" w:bidi="ar-SA"/>
      </w:rPr>
    </w:lvl>
    <w:lvl w:ilvl="4">
      <w:numFmt w:val="bullet"/>
      <w:lvlText w:val="•"/>
      <w:lvlJc w:val="left"/>
      <w:pPr>
        <w:ind w:left="3710" w:hanging="629"/>
      </w:pPr>
      <w:rPr>
        <w:rFonts w:hint="default"/>
        <w:lang w:val="pt-PT" w:eastAsia="en-US" w:bidi="ar-SA"/>
      </w:rPr>
    </w:lvl>
    <w:lvl w:ilvl="5">
      <w:numFmt w:val="bullet"/>
      <w:lvlText w:val="•"/>
      <w:lvlJc w:val="left"/>
      <w:pPr>
        <w:ind w:left="4583" w:hanging="629"/>
      </w:pPr>
      <w:rPr>
        <w:rFonts w:hint="default"/>
        <w:lang w:val="pt-PT" w:eastAsia="en-US" w:bidi="ar-SA"/>
      </w:rPr>
    </w:lvl>
    <w:lvl w:ilvl="6">
      <w:numFmt w:val="bullet"/>
      <w:lvlText w:val="•"/>
      <w:lvlJc w:val="left"/>
      <w:pPr>
        <w:ind w:left="5455" w:hanging="629"/>
      </w:pPr>
      <w:rPr>
        <w:rFonts w:hint="default"/>
        <w:lang w:val="pt-PT" w:eastAsia="en-US" w:bidi="ar-SA"/>
      </w:rPr>
    </w:lvl>
    <w:lvl w:ilvl="7">
      <w:numFmt w:val="bullet"/>
      <w:lvlText w:val="•"/>
      <w:lvlJc w:val="left"/>
      <w:pPr>
        <w:ind w:left="6328" w:hanging="629"/>
      </w:pPr>
      <w:rPr>
        <w:rFonts w:hint="default"/>
        <w:lang w:val="pt-PT" w:eastAsia="en-US" w:bidi="ar-SA"/>
      </w:rPr>
    </w:lvl>
    <w:lvl w:ilvl="8">
      <w:numFmt w:val="bullet"/>
      <w:lvlText w:val="•"/>
      <w:lvlJc w:val="left"/>
      <w:pPr>
        <w:ind w:left="7201" w:hanging="629"/>
      </w:pPr>
      <w:rPr>
        <w:rFonts w:hint="default"/>
        <w:lang w:val="pt-PT" w:eastAsia="en-US" w:bidi="ar-SA"/>
      </w:rPr>
    </w:lvl>
  </w:abstractNum>
  <w:abstractNum w:abstractNumId="2" w15:restartNumberingAfterBreak="0">
    <w:nsid w:val="1A736FFD"/>
    <w:multiLevelType w:val="hybridMultilevel"/>
    <w:tmpl w:val="0C3E07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82573EE"/>
    <w:multiLevelType w:val="multilevel"/>
    <w:tmpl w:val="44748BA8"/>
    <w:lvl w:ilvl="0">
      <w:start w:val="5"/>
      <w:numFmt w:val="decimal"/>
      <w:lvlText w:val="%1"/>
      <w:lvlJc w:val="left"/>
      <w:pPr>
        <w:ind w:left="222" w:hanging="363"/>
        <w:jc w:val="left"/>
      </w:pPr>
      <w:rPr>
        <w:rFonts w:hint="default"/>
        <w:lang w:val="pt-PT" w:eastAsia="en-US" w:bidi="ar-SA"/>
      </w:rPr>
    </w:lvl>
    <w:lvl w:ilvl="1">
      <w:start w:val="1"/>
      <w:numFmt w:val="decimal"/>
      <w:lvlText w:val="%1.%2"/>
      <w:lvlJc w:val="left"/>
      <w:pPr>
        <w:ind w:left="222" w:hanging="363"/>
        <w:jc w:val="left"/>
      </w:pPr>
      <w:rPr>
        <w:rFonts w:ascii="Verdana" w:eastAsia="Verdana" w:hAnsi="Verdana" w:cs="Verdana" w:hint="default"/>
        <w:spacing w:val="-2"/>
        <w:w w:val="83"/>
        <w:sz w:val="22"/>
        <w:szCs w:val="22"/>
        <w:lang w:val="pt-PT" w:eastAsia="en-US" w:bidi="ar-SA"/>
      </w:rPr>
    </w:lvl>
    <w:lvl w:ilvl="2">
      <w:numFmt w:val="bullet"/>
      <w:lvlText w:val="•"/>
      <w:lvlJc w:val="left"/>
      <w:pPr>
        <w:ind w:left="1965" w:hanging="363"/>
      </w:pPr>
      <w:rPr>
        <w:rFonts w:hint="default"/>
        <w:lang w:val="pt-PT" w:eastAsia="en-US" w:bidi="ar-SA"/>
      </w:rPr>
    </w:lvl>
    <w:lvl w:ilvl="3">
      <w:numFmt w:val="bullet"/>
      <w:lvlText w:val="•"/>
      <w:lvlJc w:val="left"/>
      <w:pPr>
        <w:ind w:left="2837" w:hanging="363"/>
      </w:pPr>
      <w:rPr>
        <w:rFonts w:hint="default"/>
        <w:lang w:val="pt-PT" w:eastAsia="en-US" w:bidi="ar-SA"/>
      </w:rPr>
    </w:lvl>
    <w:lvl w:ilvl="4">
      <w:numFmt w:val="bullet"/>
      <w:lvlText w:val="•"/>
      <w:lvlJc w:val="left"/>
      <w:pPr>
        <w:ind w:left="3710" w:hanging="363"/>
      </w:pPr>
      <w:rPr>
        <w:rFonts w:hint="default"/>
        <w:lang w:val="pt-PT" w:eastAsia="en-US" w:bidi="ar-SA"/>
      </w:rPr>
    </w:lvl>
    <w:lvl w:ilvl="5">
      <w:numFmt w:val="bullet"/>
      <w:lvlText w:val="•"/>
      <w:lvlJc w:val="left"/>
      <w:pPr>
        <w:ind w:left="4583" w:hanging="363"/>
      </w:pPr>
      <w:rPr>
        <w:rFonts w:hint="default"/>
        <w:lang w:val="pt-PT" w:eastAsia="en-US" w:bidi="ar-SA"/>
      </w:rPr>
    </w:lvl>
    <w:lvl w:ilvl="6">
      <w:numFmt w:val="bullet"/>
      <w:lvlText w:val="•"/>
      <w:lvlJc w:val="left"/>
      <w:pPr>
        <w:ind w:left="5455" w:hanging="363"/>
      </w:pPr>
      <w:rPr>
        <w:rFonts w:hint="default"/>
        <w:lang w:val="pt-PT" w:eastAsia="en-US" w:bidi="ar-SA"/>
      </w:rPr>
    </w:lvl>
    <w:lvl w:ilvl="7">
      <w:numFmt w:val="bullet"/>
      <w:lvlText w:val="•"/>
      <w:lvlJc w:val="left"/>
      <w:pPr>
        <w:ind w:left="6328" w:hanging="363"/>
      </w:pPr>
      <w:rPr>
        <w:rFonts w:hint="default"/>
        <w:lang w:val="pt-PT" w:eastAsia="en-US" w:bidi="ar-SA"/>
      </w:rPr>
    </w:lvl>
    <w:lvl w:ilvl="8">
      <w:numFmt w:val="bullet"/>
      <w:lvlText w:val="•"/>
      <w:lvlJc w:val="left"/>
      <w:pPr>
        <w:ind w:left="7201" w:hanging="363"/>
      </w:pPr>
      <w:rPr>
        <w:rFonts w:hint="default"/>
        <w:lang w:val="pt-PT" w:eastAsia="en-US" w:bidi="ar-SA"/>
      </w:rPr>
    </w:lvl>
  </w:abstractNum>
  <w:abstractNum w:abstractNumId="4" w15:restartNumberingAfterBreak="0">
    <w:nsid w:val="4EDA56FE"/>
    <w:multiLevelType w:val="multilevel"/>
    <w:tmpl w:val="58B0F124"/>
    <w:lvl w:ilvl="0">
      <w:start w:val="1"/>
      <w:numFmt w:val="decimal"/>
      <w:lvlText w:val="%1"/>
      <w:lvlJc w:val="left"/>
      <w:pPr>
        <w:ind w:left="613" w:hanging="392"/>
        <w:jc w:val="left"/>
      </w:pPr>
      <w:rPr>
        <w:rFonts w:hint="default"/>
        <w:lang w:val="pt-PT" w:eastAsia="en-US" w:bidi="ar-SA"/>
      </w:rPr>
    </w:lvl>
    <w:lvl w:ilvl="1">
      <w:start w:val="1"/>
      <w:numFmt w:val="decimal"/>
      <w:lvlText w:val="%1.%2"/>
      <w:lvlJc w:val="left"/>
      <w:pPr>
        <w:ind w:left="613" w:hanging="392"/>
        <w:jc w:val="left"/>
      </w:pPr>
      <w:rPr>
        <w:rFonts w:ascii="Verdana" w:eastAsia="Verdana" w:hAnsi="Verdana" w:cs="Verdana" w:hint="default"/>
        <w:spacing w:val="-2"/>
        <w:w w:val="83"/>
        <w:sz w:val="22"/>
        <w:szCs w:val="22"/>
        <w:lang w:val="pt-PT" w:eastAsia="en-US" w:bidi="ar-SA"/>
      </w:rPr>
    </w:lvl>
    <w:lvl w:ilvl="2">
      <w:start w:val="1"/>
      <w:numFmt w:val="lowerLetter"/>
      <w:lvlText w:val="%3)"/>
      <w:lvlJc w:val="left"/>
      <w:pPr>
        <w:ind w:left="942" w:hanging="360"/>
        <w:jc w:val="left"/>
      </w:pPr>
      <w:rPr>
        <w:rFonts w:ascii="Verdana" w:eastAsia="Verdana" w:hAnsi="Verdana" w:cs="Verdana" w:hint="default"/>
        <w:w w:val="100"/>
        <w:sz w:val="22"/>
        <w:szCs w:val="22"/>
        <w:lang w:val="pt-PT" w:eastAsia="en-US" w:bidi="ar-SA"/>
      </w:rPr>
    </w:lvl>
    <w:lvl w:ilvl="3">
      <w:numFmt w:val="bullet"/>
      <w:lvlText w:val="•"/>
      <w:lvlJc w:val="left"/>
      <w:pPr>
        <w:ind w:left="2719" w:hanging="360"/>
      </w:pPr>
      <w:rPr>
        <w:rFonts w:hint="default"/>
        <w:lang w:val="pt-PT" w:eastAsia="en-US" w:bidi="ar-SA"/>
      </w:rPr>
    </w:lvl>
    <w:lvl w:ilvl="4">
      <w:numFmt w:val="bullet"/>
      <w:lvlText w:val="•"/>
      <w:lvlJc w:val="left"/>
      <w:pPr>
        <w:ind w:left="3608" w:hanging="360"/>
      </w:pPr>
      <w:rPr>
        <w:rFonts w:hint="default"/>
        <w:lang w:val="pt-PT" w:eastAsia="en-US" w:bidi="ar-SA"/>
      </w:rPr>
    </w:lvl>
    <w:lvl w:ilvl="5">
      <w:numFmt w:val="bullet"/>
      <w:lvlText w:val="•"/>
      <w:lvlJc w:val="left"/>
      <w:pPr>
        <w:ind w:left="4498" w:hanging="360"/>
      </w:pPr>
      <w:rPr>
        <w:rFonts w:hint="default"/>
        <w:lang w:val="pt-PT" w:eastAsia="en-US" w:bidi="ar-SA"/>
      </w:rPr>
    </w:lvl>
    <w:lvl w:ilvl="6">
      <w:numFmt w:val="bullet"/>
      <w:lvlText w:val="•"/>
      <w:lvlJc w:val="left"/>
      <w:pPr>
        <w:ind w:left="5388" w:hanging="360"/>
      </w:pPr>
      <w:rPr>
        <w:rFonts w:hint="default"/>
        <w:lang w:val="pt-PT" w:eastAsia="en-US" w:bidi="ar-SA"/>
      </w:rPr>
    </w:lvl>
    <w:lvl w:ilvl="7">
      <w:numFmt w:val="bullet"/>
      <w:lvlText w:val="•"/>
      <w:lvlJc w:val="left"/>
      <w:pPr>
        <w:ind w:left="6277" w:hanging="360"/>
      </w:pPr>
      <w:rPr>
        <w:rFonts w:hint="default"/>
        <w:lang w:val="pt-PT" w:eastAsia="en-US" w:bidi="ar-SA"/>
      </w:rPr>
    </w:lvl>
    <w:lvl w:ilvl="8">
      <w:numFmt w:val="bullet"/>
      <w:lvlText w:val="•"/>
      <w:lvlJc w:val="left"/>
      <w:pPr>
        <w:ind w:left="7167" w:hanging="360"/>
      </w:pPr>
      <w:rPr>
        <w:rFonts w:hint="default"/>
        <w:lang w:val="pt-PT" w:eastAsia="en-US" w:bidi="ar-SA"/>
      </w:rPr>
    </w:lvl>
  </w:abstractNum>
  <w:abstractNum w:abstractNumId="5" w15:restartNumberingAfterBreak="0">
    <w:nsid w:val="60F96BC6"/>
    <w:multiLevelType w:val="multilevel"/>
    <w:tmpl w:val="8A5693E2"/>
    <w:lvl w:ilvl="0">
      <w:start w:val="7"/>
      <w:numFmt w:val="decimal"/>
      <w:lvlText w:val="%1"/>
      <w:lvlJc w:val="left"/>
      <w:pPr>
        <w:ind w:left="222" w:hanging="358"/>
        <w:jc w:val="left"/>
      </w:pPr>
      <w:rPr>
        <w:rFonts w:hint="default"/>
        <w:lang w:val="pt-PT" w:eastAsia="en-US" w:bidi="ar-SA"/>
      </w:rPr>
    </w:lvl>
    <w:lvl w:ilvl="1">
      <w:start w:val="1"/>
      <w:numFmt w:val="decimal"/>
      <w:lvlText w:val="%1.%2"/>
      <w:lvlJc w:val="left"/>
      <w:pPr>
        <w:ind w:left="222" w:hanging="358"/>
        <w:jc w:val="left"/>
      </w:pPr>
      <w:rPr>
        <w:rFonts w:ascii="Verdana" w:eastAsia="Verdana" w:hAnsi="Verdana" w:cs="Verdana" w:hint="default"/>
        <w:spacing w:val="-2"/>
        <w:w w:val="76"/>
        <w:sz w:val="22"/>
        <w:szCs w:val="22"/>
        <w:lang w:val="pt-PT" w:eastAsia="en-US" w:bidi="ar-SA"/>
      </w:rPr>
    </w:lvl>
    <w:lvl w:ilvl="2">
      <w:start w:val="1"/>
      <w:numFmt w:val="decimal"/>
      <w:lvlText w:val="%3-"/>
      <w:lvlJc w:val="left"/>
      <w:pPr>
        <w:ind w:left="942" w:hanging="360"/>
        <w:jc w:val="left"/>
      </w:pPr>
      <w:rPr>
        <w:rFonts w:ascii="Verdana" w:eastAsia="Verdana" w:hAnsi="Verdana" w:cs="Verdana" w:hint="default"/>
        <w:w w:val="73"/>
        <w:sz w:val="22"/>
        <w:szCs w:val="22"/>
        <w:lang w:val="pt-PT" w:eastAsia="en-US" w:bidi="ar-SA"/>
      </w:rPr>
    </w:lvl>
    <w:lvl w:ilvl="3">
      <w:numFmt w:val="bullet"/>
      <w:lvlText w:val="•"/>
      <w:lvlJc w:val="left"/>
      <w:pPr>
        <w:ind w:left="2719" w:hanging="360"/>
      </w:pPr>
      <w:rPr>
        <w:rFonts w:hint="default"/>
        <w:lang w:val="pt-PT" w:eastAsia="en-US" w:bidi="ar-SA"/>
      </w:rPr>
    </w:lvl>
    <w:lvl w:ilvl="4">
      <w:numFmt w:val="bullet"/>
      <w:lvlText w:val="•"/>
      <w:lvlJc w:val="left"/>
      <w:pPr>
        <w:ind w:left="3608" w:hanging="360"/>
      </w:pPr>
      <w:rPr>
        <w:rFonts w:hint="default"/>
        <w:lang w:val="pt-PT" w:eastAsia="en-US" w:bidi="ar-SA"/>
      </w:rPr>
    </w:lvl>
    <w:lvl w:ilvl="5">
      <w:numFmt w:val="bullet"/>
      <w:lvlText w:val="•"/>
      <w:lvlJc w:val="left"/>
      <w:pPr>
        <w:ind w:left="4498" w:hanging="360"/>
      </w:pPr>
      <w:rPr>
        <w:rFonts w:hint="default"/>
        <w:lang w:val="pt-PT" w:eastAsia="en-US" w:bidi="ar-SA"/>
      </w:rPr>
    </w:lvl>
    <w:lvl w:ilvl="6">
      <w:numFmt w:val="bullet"/>
      <w:lvlText w:val="•"/>
      <w:lvlJc w:val="left"/>
      <w:pPr>
        <w:ind w:left="5388" w:hanging="360"/>
      </w:pPr>
      <w:rPr>
        <w:rFonts w:hint="default"/>
        <w:lang w:val="pt-PT" w:eastAsia="en-US" w:bidi="ar-SA"/>
      </w:rPr>
    </w:lvl>
    <w:lvl w:ilvl="7">
      <w:numFmt w:val="bullet"/>
      <w:lvlText w:val="•"/>
      <w:lvlJc w:val="left"/>
      <w:pPr>
        <w:ind w:left="6277" w:hanging="360"/>
      </w:pPr>
      <w:rPr>
        <w:rFonts w:hint="default"/>
        <w:lang w:val="pt-PT" w:eastAsia="en-US" w:bidi="ar-SA"/>
      </w:rPr>
    </w:lvl>
    <w:lvl w:ilvl="8">
      <w:numFmt w:val="bullet"/>
      <w:lvlText w:val="•"/>
      <w:lvlJc w:val="left"/>
      <w:pPr>
        <w:ind w:left="7167" w:hanging="360"/>
      </w:pPr>
      <w:rPr>
        <w:rFonts w:hint="default"/>
        <w:lang w:val="pt-PT" w:eastAsia="en-US" w:bidi="ar-SA"/>
      </w:rPr>
    </w:lvl>
  </w:abstractNum>
  <w:abstractNum w:abstractNumId="6" w15:restartNumberingAfterBreak="0">
    <w:nsid w:val="655252F9"/>
    <w:multiLevelType w:val="multilevel"/>
    <w:tmpl w:val="BBB6C7CA"/>
    <w:lvl w:ilvl="0">
      <w:start w:val="6"/>
      <w:numFmt w:val="decimal"/>
      <w:lvlText w:val="%1"/>
      <w:lvlJc w:val="left"/>
      <w:pPr>
        <w:ind w:left="222" w:hanging="398"/>
        <w:jc w:val="left"/>
      </w:pPr>
      <w:rPr>
        <w:rFonts w:hint="default"/>
        <w:lang w:val="pt-PT" w:eastAsia="en-US" w:bidi="ar-SA"/>
      </w:rPr>
    </w:lvl>
    <w:lvl w:ilvl="1">
      <w:start w:val="3"/>
      <w:numFmt w:val="decimal"/>
      <w:lvlText w:val="%1.%2"/>
      <w:lvlJc w:val="left"/>
      <w:pPr>
        <w:ind w:left="222" w:hanging="398"/>
        <w:jc w:val="left"/>
      </w:pPr>
      <w:rPr>
        <w:rFonts w:ascii="Verdana" w:eastAsia="Verdana" w:hAnsi="Verdana" w:cs="Verdana" w:hint="default"/>
        <w:spacing w:val="-2"/>
        <w:w w:val="83"/>
        <w:sz w:val="22"/>
        <w:szCs w:val="22"/>
        <w:lang w:val="pt-PT" w:eastAsia="en-US" w:bidi="ar-SA"/>
      </w:rPr>
    </w:lvl>
    <w:lvl w:ilvl="2">
      <w:numFmt w:val="bullet"/>
      <w:lvlText w:val="•"/>
      <w:lvlJc w:val="left"/>
      <w:pPr>
        <w:ind w:left="1965" w:hanging="398"/>
      </w:pPr>
      <w:rPr>
        <w:rFonts w:hint="default"/>
        <w:lang w:val="pt-PT" w:eastAsia="en-US" w:bidi="ar-SA"/>
      </w:rPr>
    </w:lvl>
    <w:lvl w:ilvl="3">
      <w:numFmt w:val="bullet"/>
      <w:lvlText w:val="•"/>
      <w:lvlJc w:val="left"/>
      <w:pPr>
        <w:ind w:left="2837" w:hanging="398"/>
      </w:pPr>
      <w:rPr>
        <w:rFonts w:hint="default"/>
        <w:lang w:val="pt-PT" w:eastAsia="en-US" w:bidi="ar-SA"/>
      </w:rPr>
    </w:lvl>
    <w:lvl w:ilvl="4">
      <w:numFmt w:val="bullet"/>
      <w:lvlText w:val="•"/>
      <w:lvlJc w:val="left"/>
      <w:pPr>
        <w:ind w:left="3710" w:hanging="398"/>
      </w:pPr>
      <w:rPr>
        <w:rFonts w:hint="default"/>
        <w:lang w:val="pt-PT" w:eastAsia="en-US" w:bidi="ar-SA"/>
      </w:rPr>
    </w:lvl>
    <w:lvl w:ilvl="5">
      <w:numFmt w:val="bullet"/>
      <w:lvlText w:val="•"/>
      <w:lvlJc w:val="left"/>
      <w:pPr>
        <w:ind w:left="4583" w:hanging="398"/>
      </w:pPr>
      <w:rPr>
        <w:rFonts w:hint="default"/>
        <w:lang w:val="pt-PT" w:eastAsia="en-US" w:bidi="ar-SA"/>
      </w:rPr>
    </w:lvl>
    <w:lvl w:ilvl="6">
      <w:numFmt w:val="bullet"/>
      <w:lvlText w:val="•"/>
      <w:lvlJc w:val="left"/>
      <w:pPr>
        <w:ind w:left="5455" w:hanging="398"/>
      </w:pPr>
      <w:rPr>
        <w:rFonts w:hint="default"/>
        <w:lang w:val="pt-PT" w:eastAsia="en-US" w:bidi="ar-SA"/>
      </w:rPr>
    </w:lvl>
    <w:lvl w:ilvl="7">
      <w:numFmt w:val="bullet"/>
      <w:lvlText w:val="•"/>
      <w:lvlJc w:val="left"/>
      <w:pPr>
        <w:ind w:left="6328" w:hanging="398"/>
      </w:pPr>
      <w:rPr>
        <w:rFonts w:hint="default"/>
        <w:lang w:val="pt-PT" w:eastAsia="en-US" w:bidi="ar-SA"/>
      </w:rPr>
    </w:lvl>
    <w:lvl w:ilvl="8">
      <w:numFmt w:val="bullet"/>
      <w:lvlText w:val="•"/>
      <w:lvlJc w:val="left"/>
      <w:pPr>
        <w:ind w:left="7201" w:hanging="398"/>
      </w:pPr>
      <w:rPr>
        <w:rFonts w:hint="default"/>
        <w:lang w:val="pt-PT" w:eastAsia="en-US" w:bidi="ar-SA"/>
      </w:rPr>
    </w:lvl>
  </w:abstractNum>
  <w:abstractNum w:abstractNumId="7" w15:restartNumberingAfterBreak="0">
    <w:nsid w:val="73027714"/>
    <w:multiLevelType w:val="multilevel"/>
    <w:tmpl w:val="2EFA84F6"/>
    <w:lvl w:ilvl="0">
      <w:start w:val="4"/>
      <w:numFmt w:val="decimal"/>
      <w:lvlText w:val="%1"/>
      <w:lvlJc w:val="left"/>
      <w:pPr>
        <w:ind w:left="586" w:hanging="365"/>
        <w:jc w:val="left"/>
      </w:pPr>
      <w:rPr>
        <w:rFonts w:hint="default"/>
        <w:lang w:val="pt-PT" w:eastAsia="en-US" w:bidi="ar-SA"/>
      </w:rPr>
    </w:lvl>
    <w:lvl w:ilvl="1">
      <w:start w:val="1"/>
      <w:numFmt w:val="decimal"/>
      <w:lvlText w:val="%1.%2"/>
      <w:lvlJc w:val="left"/>
      <w:pPr>
        <w:ind w:left="586" w:hanging="365"/>
        <w:jc w:val="left"/>
      </w:pPr>
      <w:rPr>
        <w:rFonts w:ascii="Verdana" w:eastAsia="Verdana" w:hAnsi="Verdana" w:cs="Verdana" w:hint="default"/>
        <w:spacing w:val="-2"/>
        <w:w w:val="83"/>
        <w:sz w:val="22"/>
        <w:szCs w:val="22"/>
        <w:lang w:val="pt-PT" w:eastAsia="en-US" w:bidi="ar-SA"/>
      </w:rPr>
    </w:lvl>
    <w:lvl w:ilvl="2">
      <w:start w:val="1"/>
      <w:numFmt w:val="lowerLetter"/>
      <w:lvlText w:val="%3)"/>
      <w:lvlJc w:val="left"/>
      <w:pPr>
        <w:ind w:left="942" w:hanging="360"/>
        <w:jc w:val="left"/>
      </w:pPr>
      <w:rPr>
        <w:rFonts w:ascii="Verdana" w:eastAsia="Verdana" w:hAnsi="Verdana" w:cs="Verdana" w:hint="default"/>
        <w:w w:val="100"/>
        <w:sz w:val="22"/>
        <w:szCs w:val="22"/>
        <w:lang w:val="pt-PT" w:eastAsia="en-US" w:bidi="ar-SA"/>
      </w:rPr>
    </w:lvl>
    <w:lvl w:ilvl="3">
      <w:numFmt w:val="bullet"/>
      <w:lvlText w:val="•"/>
      <w:lvlJc w:val="left"/>
      <w:pPr>
        <w:ind w:left="2719" w:hanging="360"/>
      </w:pPr>
      <w:rPr>
        <w:rFonts w:hint="default"/>
        <w:lang w:val="pt-PT" w:eastAsia="en-US" w:bidi="ar-SA"/>
      </w:rPr>
    </w:lvl>
    <w:lvl w:ilvl="4">
      <w:numFmt w:val="bullet"/>
      <w:lvlText w:val="•"/>
      <w:lvlJc w:val="left"/>
      <w:pPr>
        <w:ind w:left="3608" w:hanging="360"/>
      </w:pPr>
      <w:rPr>
        <w:rFonts w:hint="default"/>
        <w:lang w:val="pt-PT" w:eastAsia="en-US" w:bidi="ar-SA"/>
      </w:rPr>
    </w:lvl>
    <w:lvl w:ilvl="5">
      <w:numFmt w:val="bullet"/>
      <w:lvlText w:val="•"/>
      <w:lvlJc w:val="left"/>
      <w:pPr>
        <w:ind w:left="4498" w:hanging="360"/>
      </w:pPr>
      <w:rPr>
        <w:rFonts w:hint="default"/>
        <w:lang w:val="pt-PT" w:eastAsia="en-US" w:bidi="ar-SA"/>
      </w:rPr>
    </w:lvl>
    <w:lvl w:ilvl="6">
      <w:numFmt w:val="bullet"/>
      <w:lvlText w:val="•"/>
      <w:lvlJc w:val="left"/>
      <w:pPr>
        <w:ind w:left="5388" w:hanging="360"/>
      </w:pPr>
      <w:rPr>
        <w:rFonts w:hint="default"/>
        <w:lang w:val="pt-PT" w:eastAsia="en-US" w:bidi="ar-SA"/>
      </w:rPr>
    </w:lvl>
    <w:lvl w:ilvl="7">
      <w:numFmt w:val="bullet"/>
      <w:lvlText w:val="•"/>
      <w:lvlJc w:val="left"/>
      <w:pPr>
        <w:ind w:left="6277" w:hanging="360"/>
      </w:pPr>
      <w:rPr>
        <w:rFonts w:hint="default"/>
        <w:lang w:val="pt-PT" w:eastAsia="en-US" w:bidi="ar-SA"/>
      </w:rPr>
    </w:lvl>
    <w:lvl w:ilvl="8">
      <w:numFmt w:val="bullet"/>
      <w:lvlText w:val="•"/>
      <w:lvlJc w:val="left"/>
      <w:pPr>
        <w:ind w:left="7167" w:hanging="360"/>
      </w:pPr>
      <w:rPr>
        <w:rFonts w:hint="default"/>
        <w:lang w:val="pt-PT" w:eastAsia="en-US" w:bidi="ar-SA"/>
      </w:rPr>
    </w:lvl>
  </w:abstractNum>
  <w:num w:numId="1" w16cid:durableId="178661335">
    <w:abstractNumId w:val="5"/>
  </w:num>
  <w:num w:numId="2" w16cid:durableId="530532068">
    <w:abstractNumId w:val="6"/>
  </w:num>
  <w:num w:numId="3" w16cid:durableId="1029529632">
    <w:abstractNumId w:val="1"/>
  </w:num>
  <w:num w:numId="4" w16cid:durableId="1681734151">
    <w:abstractNumId w:val="3"/>
  </w:num>
  <w:num w:numId="5" w16cid:durableId="15742871">
    <w:abstractNumId w:val="7"/>
  </w:num>
  <w:num w:numId="6" w16cid:durableId="2032027637">
    <w:abstractNumId w:val="0"/>
  </w:num>
  <w:num w:numId="7" w16cid:durableId="1209730420">
    <w:abstractNumId w:val="4"/>
  </w:num>
  <w:num w:numId="8" w16cid:durableId="912474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E4"/>
    <w:rsid w:val="000507B3"/>
    <w:rsid w:val="00066E8D"/>
    <w:rsid w:val="000A6EDD"/>
    <w:rsid w:val="00102840"/>
    <w:rsid w:val="00122A28"/>
    <w:rsid w:val="00200910"/>
    <w:rsid w:val="002367C1"/>
    <w:rsid w:val="00280AFE"/>
    <w:rsid w:val="00324F3E"/>
    <w:rsid w:val="00344A0B"/>
    <w:rsid w:val="00383CEC"/>
    <w:rsid w:val="003A0166"/>
    <w:rsid w:val="003D113C"/>
    <w:rsid w:val="004323E5"/>
    <w:rsid w:val="00455ECC"/>
    <w:rsid w:val="00475BE5"/>
    <w:rsid w:val="00480364"/>
    <w:rsid w:val="004A4FE4"/>
    <w:rsid w:val="007C22B0"/>
    <w:rsid w:val="00821D77"/>
    <w:rsid w:val="00834145"/>
    <w:rsid w:val="00840FFC"/>
    <w:rsid w:val="008B110B"/>
    <w:rsid w:val="00926E44"/>
    <w:rsid w:val="009555C3"/>
    <w:rsid w:val="00996253"/>
    <w:rsid w:val="009A5228"/>
    <w:rsid w:val="009B0CFD"/>
    <w:rsid w:val="009C0153"/>
    <w:rsid w:val="009D142E"/>
    <w:rsid w:val="009F72CD"/>
    <w:rsid w:val="00A140AB"/>
    <w:rsid w:val="00A61156"/>
    <w:rsid w:val="00A75A2C"/>
    <w:rsid w:val="00B710DC"/>
    <w:rsid w:val="00B720E8"/>
    <w:rsid w:val="00BD1FC1"/>
    <w:rsid w:val="00C65545"/>
    <w:rsid w:val="00C9562A"/>
    <w:rsid w:val="00CF61FB"/>
    <w:rsid w:val="00D168C7"/>
    <w:rsid w:val="00D31758"/>
    <w:rsid w:val="00D53A69"/>
    <w:rsid w:val="00D63719"/>
    <w:rsid w:val="00D80B17"/>
    <w:rsid w:val="00E05D74"/>
    <w:rsid w:val="00E53E8A"/>
    <w:rsid w:val="00F24209"/>
    <w:rsid w:val="00F25D09"/>
    <w:rsid w:val="00FE2B4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05AC0"/>
  <w15:docId w15:val="{EA18AEDB-7E83-4ED6-9024-35470D07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pt-PT"/>
    </w:rPr>
  </w:style>
  <w:style w:type="paragraph" w:styleId="Ttulo1">
    <w:name w:val="heading 1"/>
    <w:basedOn w:val="Normal"/>
    <w:uiPriority w:val="1"/>
    <w:qFormat/>
    <w:pPr>
      <w:spacing w:before="15"/>
      <w:ind w:left="193"/>
      <w:outlineLvl w:val="0"/>
    </w:pPr>
    <w:rPr>
      <w:b/>
      <w:bCs/>
      <w:sz w:val="28"/>
      <w:szCs w:val="28"/>
      <w:u w:val="single" w:color="000000"/>
    </w:rPr>
  </w:style>
  <w:style w:type="paragraph" w:styleId="Ttulo2">
    <w:name w:val="heading 2"/>
    <w:basedOn w:val="Normal"/>
    <w:uiPriority w:val="1"/>
    <w:qFormat/>
    <w:pPr>
      <w:ind w:left="222"/>
      <w:outlineLvl w:val="1"/>
    </w:pPr>
    <w:rPr>
      <w:b/>
      <w:bCs/>
    </w:rPr>
  </w:style>
  <w:style w:type="paragraph" w:styleId="Ttulo3">
    <w:name w:val="heading 3"/>
    <w:basedOn w:val="Normal"/>
    <w:next w:val="Normal"/>
    <w:link w:val="Ttulo3Char"/>
    <w:uiPriority w:val="9"/>
    <w:unhideWhenUsed/>
    <w:qFormat/>
    <w:rsid w:val="00C9562A"/>
    <w:pPr>
      <w:keepNext/>
      <w:tabs>
        <w:tab w:val="left" w:pos="2670"/>
      </w:tabs>
      <w:jc w:val="center"/>
      <w:outlineLvl w:val="2"/>
    </w:pPr>
    <w:rPr>
      <w:rFonts w:ascii="Arial" w:hAnsi="Arial" w:cs="Arial"/>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
    <w:qFormat/>
    <w:pPr>
      <w:spacing w:before="101"/>
      <w:ind w:left="1214" w:right="1215"/>
      <w:jc w:val="center"/>
    </w:pPr>
    <w:rPr>
      <w:b/>
      <w:bCs/>
      <w:sz w:val="72"/>
      <w:szCs w:val="72"/>
    </w:rPr>
  </w:style>
  <w:style w:type="paragraph" w:styleId="PargrafodaLista">
    <w:name w:val="List Paragraph"/>
    <w:basedOn w:val="Normal"/>
    <w:uiPriority w:val="1"/>
    <w:qFormat/>
    <w:pPr>
      <w:ind w:left="222" w:right="2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D63719"/>
    <w:pPr>
      <w:tabs>
        <w:tab w:val="center" w:pos="4252"/>
        <w:tab w:val="right" w:pos="8504"/>
      </w:tabs>
    </w:pPr>
  </w:style>
  <w:style w:type="character" w:customStyle="1" w:styleId="CabealhoChar">
    <w:name w:val="Cabeçalho Char"/>
    <w:basedOn w:val="Fontepargpadro"/>
    <w:link w:val="Cabealho"/>
    <w:rsid w:val="00D63719"/>
    <w:rPr>
      <w:rFonts w:ascii="Verdana" w:eastAsia="Verdana" w:hAnsi="Verdana" w:cs="Verdana"/>
      <w:lang w:val="pt-PT"/>
    </w:rPr>
  </w:style>
  <w:style w:type="paragraph" w:styleId="Rodap">
    <w:name w:val="footer"/>
    <w:basedOn w:val="Normal"/>
    <w:link w:val="RodapChar"/>
    <w:uiPriority w:val="99"/>
    <w:unhideWhenUsed/>
    <w:rsid w:val="00D63719"/>
    <w:pPr>
      <w:tabs>
        <w:tab w:val="center" w:pos="4252"/>
        <w:tab w:val="right" w:pos="8504"/>
      </w:tabs>
    </w:pPr>
  </w:style>
  <w:style w:type="character" w:customStyle="1" w:styleId="RodapChar">
    <w:name w:val="Rodapé Char"/>
    <w:basedOn w:val="Fontepargpadro"/>
    <w:link w:val="Rodap"/>
    <w:uiPriority w:val="99"/>
    <w:rsid w:val="00D63719"/>
    <w:rPr>
      <w:rFonts w:ascii="Verdana" w:eastAsia="Verdana" w:hAnsi="Verdana" w:cs="Verdana"/>
      <w:lang w:val="pt-PT"/>
    </w:rPr>
  </w:style>
  <w:style w:type="paragraph" w:styleId="Textodebalo">
    <w:name w:val="Balloon Text"/>
    <w:basedOn w:val="Normal"/>
    <w:link w:val="TextodebaloChar"/>
    <w:uiPriority w:val="99"/>
    <w:semiHidden/>
    <w:unhideWhenUsed/>
    <w:rsid w:val="009A5228"/>
    <w:rPr>
      <w:rFonts w:ascii="Tahoma" w:hAnsi="Tahoma" w:cs="Tahoma"/>
      <w:sz w:val="16"/>
      <w:szCs w:val="16"/>
    </w:rPr>
  </w:style>
  <w:style w:type="character" w:customStyle="1" w:styleId="TextodebaloChar">
    <w:name w:val="Texto de balão Char"/>
    <w:basedOn w:val="Fontepargpadro"/>
    <w:link w:val="Textodebalo"/>
    <w:uiPriority w:val="99"/>
    <w:semiHidden/>
    <w:rsid w:val="009A5228"/>
    <w:rPr>
      <w:rFonts w:ascii="Tahoma" w:eastAsia="Verdana" w:hAnsi="Tahoma" w:cs="Tahoma"/>
      <w:sz w:val="16"/>
      <w:szCs w:val="16"/>
      <w:lang w:val="pt-PT"/>
    </w:rPr>
  </w:style>
  <w:style w:type="paragraph" w:styleId="Recuodecorpodetexto">
    <w:name w:val="Body Text Indent"/>
    <w:basedOn w:val="Normal"/>
    <w:link w:val="RecuodecorpodetextoChar"/>
    <w:uiPriority w:val="99"/>
    <w:unhideWhenUsed/>
    <w:rsid w:val="00CF61FB"/>
    <w:pPr>
      <w:spacing w:line="360" w:lineRule="auto"/>
      <w:ind w:left="4320" w:firstLine="720"/>
      <w:jc w:val="both"/>
    </w:pPr>
    <w:rPr>
      <w:rFonts w:ascii="Arial" w:hAnsi="Arial" w:cs="Arial"/>
      <w:b/>
      <w:sz w:val="24"/>
      <w:szCs w:val="24"/>
    </w:rPr>
  </w:style>
  <w:style w:type="character" w:customStyle="1" w:styleId="RecuodecorpodetextoChar">
    <w:name w:val="Recuo de corpo de texto Char"/>
    <w:basedOn w:val="Fontepargpadro"/>
    <w:link w:val="Recuodecorpodetexto"/>
    <w:uiPriority w:val="99"/>
    <w:rsid w:val="00CF61FB"/>
    <w:rPr>
      <w:rFonts w:ascii="Arial" w:eastAsia="Verdana" w:hAnsi="Arial" w:cs="Arial"/>
      <w:b/>
      <w:sz w:val="24"/>
      <w:szCs w:val="24"/>
      <w:lang w:val="pt-PT"/>
    </w:rPr>
  </w:style>
  <w:style w:type="character" w:customStyle="1" w:styleId="Ttulo3Char">
    <w:name w:val="Título 3 Char"/>
    <w:basedOn w:val="Fontepargpadro"/>
    <w:link w:val="Ttulo3"/>
    <w:uiPriority w:val="9"/>
    <w:rsid w:val="00C9562A"/>
    <w:rPr>
      <w:rFonts w:ascii="Arial" w:eastAsia="Verdana" w:hAnsi="Arial" w:cs="Arial"/>
      <w:b/>
      <w:sz w:val="24"/>
      <w:szCs w:val="24"/>
      <w:lang w:val="pt-PT"/>
    </w:rPr>
  </w:style>
  <w:style w:type="character" w:styleId="Hyperlink">
    <w:name w:val="Hyperlink"/>
    <w:rsid w:val="009962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amaramunicipaldejequie@jequie.ba.leg.br" TargetMode="External"/><Relationship Id="rId1" Type="http://schemas.openxmlformats.org/officeDocument/2006/relationships/hyperlink" Target="http://jequie.b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FA790-E51C-4654-BBA4-8704F5E96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1766</Words>
  <Characters>9538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User</cp:lastModifiedBy>
  <cp:revision>13</cp:revision>
  <cp:lastPrinted>2022-06-15T18:59:00Z</cp:lastPrinted>
  <dcterms:created xsi:type="dcterms:W3CDTF">2022-07-13T19:11:00Z</dcterms:created>
  <dcterms:modified xsi:type="dcterms:W3CDTF">2022-07-13T19:28:00Z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Microsoft® Word 2013</vt:lpwstr>
  </property>
  <property fmtid="{D5CDD505-2E9C-101B-9397-08002B2CF9AE}" pid="4" name="LastSaved">
    <vt:filetime>2021-07-07T00:00:00Z</vt:filetime>
  </property>
</Properties>
</file>